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830F7" w14:textId="77777777" w:rsidR="00A1269B" w:rsidRPr="00CC673B" w:rsidRDefault="00A1269B" w:rsidP="00C03761">
      <w:pPr>
        <w:jc w:val="center"/>
        <w:outlineLvl w:val="1"/>
        <w:rPr>
          <w:rFonts w:ascii="Verdana" w:eastAsia="Times New Roman" w:hAnsi="Verdana" w:cs="Tahoma"/>
          <w:b/>
          <w:bCs/>
          <w:lang w:eastAsia="es-ES"/>
        </w:rPr>
      </w:pPr>
      <w:r w:rsidRPr="00CC673B">
        <w:rPr>
          <w:rFonts w:ascii="Verdana" w:eastAsia="Times New Roman" w:hAnsi="Verdana" w:cs="Tahoma"/>
          <w:b/>
          <w:bCs/>
          <w:lang w:eastAsia="es-ES"/>
        </w:rPr>
        <w:t xml:space="preserve">INFORME SOBRE </w:t>
      </w:r>
      <w:r w:rsidR="00524E06">
        <w:rPr>
          <w:rFonts w:ascii="Verdana" w:eastAsia="Times New Roman" w:hAnsi="Verdana" w:cs="Tahoma"/>
          <w:b/>
          <w:bCs/>
          <w:lang w:eastAsia="es-ES"/>
        </w:rPr>
        <w:t xml:space="preserve">SUPUESTOS DE </w:t>
      </w:r>
      <w:r w:rsidRPr="00CC673B">
        <w:rPr>
          <w:rFonts w:ascii="Verdana" w:eastAsia="Times New Roman" w:hAnsi="Verdana" w:cs="Tahoma"/>
          <w:b/>
          <w:bCs/>
          <w:lang w:eastAsia="es-ES"/>
        </w:rPr>
        <w:t>TRÁFICO JURÍDICO DE BIENES INMUEBLES DE ENTIDADES LOCALES Y SUJECIÓN AL IVA</w:t>
      </w:r>
    </w:p>
    <w:p w14:paraId="4DBB5D74" w14:textId="77777777" w:rsidR="00A1269B" w:rsidRDefault="00A1269B" w:rsidP="00037884">
      <w:pPr>
        <w:spacing w:before="0" w:beforeAutospacing="0" w:after="0" w:afterAutospacing="0"/>
        <w:ind w:left="720"/>
        <w:rPr>
          <w:rFonts w:ascii="Verdana" w:eastAsia="Times New Roman" w:hAnsi="Verdana" w:cs="Tahoma"/>
          <w:lang w:eastAsia="es-ES"/>
        </w:rPr>
      </w:pPr>
    </w:p>
    <w:p w14:paraId="27FD105F" w14:textId="77777777" w:rsidR="00322B9D" w:rsidRPr="00CC673B" w:rsidRDefault="00322B9D" w:rsidP="00037884">
      <w:pPr>
        <w:spacing w:before="0" w:beforeAutospacing="0" w:after="0" w:afterAutospacing="0"/>
        <w:ind w:left="720"/>
        <w:rPr>
          <w:rFonts w:ascii="Verdana" w:eastAsia="Times New Roman" w:hAnsi="Verdana" w:cs="Tahoma"/>
          <w:lang w:eastAsia="es-ES"/>
        </w:rPr>
      </w:pPr>
    </w:p>
    <w:p w14:paraId="3269CF33" w14:textId="77777777" w:rsidR="00F3189C" w:rsidRPr="00CC673B" w:rsidRDefault="0085364D" w:rsidP="004E0848">
      <w:pPr>
        <w:pStyle w:val="parrafo"/>
        <w:spacing w:before="0" w:beforeAutospacing="0" w:after="0" w:afterAutospacing="0"/>
        <w:ind w:firstLine="708"/>
        <w:jc w:val="both"/>
        <w:rPr>
          <w:rFonts w:ascii="Verdana" w:hAnsi="Verdana"/>
          <w:sz w:val="22"/>
          <w:szCs w:val="22"/>
        </w:rPr>
      </w:pPr>
      <w:r w:rsidRPr="00CC673B">
        <w:rPr>
          <w:rFonts w:ascii="Verdana" w:hAnsi="Verdana"/>
          <w:sz w:val="22"/>
          <w:szCs w:val="22"/>
        </w:rPr>
        <w:t>R</w:t>
      </w:r>
      <w:r w:rsidR="00F3189C" w:rsidRPr="00CC673B">
        <w:rPr>
          <w:rFonts w:ascii="Verdana" w:hAnsi="Verdana"/>
          <w:sz w:val="22"/>
          <w:szCs w:val="22"/>
        </w:rPr>
        <w:t xml:space="preserve">especto de los </w:t>
      </w:r>
      <w:r w:rsidR="004E0848" w:rsidRPr="004E0848">
        <w:rPr>
          <w:rFonts w:ascii="Verdana" w:hAnsi="Verdana"/>
          <w:b/>
          <w:bCs/>
          <w:sz w:val="22"/>
          <w:szCs w:val="22"/>
        </w:rPr>
        <w:t>BIENES COMUNALES</w:t>
      </w:r>
      <w:r w:rsidR="00F3189C" w:rsidRPr="00CC673B">
        <w:rPr>
          <w:rFonts w:ascii="Verdana" w:hAnsi="Verdana"/>
          <w:sz w:val="22"/>
          <w:szCs w:val="22"/>
        </w:rPr>
        <w:t xml:space="preserve">, el artículo 94 del </w:t>
      </w:r>
      <w:r w:rsidR="006B7218" w:rsidRPr="00CC673B">
        <w:rPr>
          <w:rFonts w:ascii="Verdana" w:hAnsi="Verdana" w:cs="Tahoma"/>
          <w:sz w:val="22"/>
          <w:szCs w:val="22"/>
        </w:rPr>
        <w:t>Reglamento de Bienes de las Entidades Locales, aprobado por Real Decreto 1372/1986, de 13 de junio</w:t>
      </w:r>
      <w:r w:rsidR="006B7218" w:rsidRPr="00CC673B">
        <w:rPr>
          <w:rFonts w:ascii="Verdana" w:hAnsi="Verdana" w:cs="Tahoma"/>
        </w:rPr>
        <w:t xml:space="preserve"> </w:t>
      </w:r>
      <w:r w:rsidR="006B7218" w:rsidRPr="00CC673B">
        <w:rPr>
          <w:rFonts w:ascii="Verdana" w:hAnsi="Verdana" w:cs="Tahoma"/>
          <w:sz w:val="22"/>
          <w:szCs w:val="22"/>
        </w:rPr>
        <w:t>(RBEL),</w:t>
      </w:r>
      <w:r w:rsidR="00F3189C" w:rsidRPr="00CC673B">
        <w:rPr>
          <w:rFonts w:ascii="Verdana" w:hAnsi="Verdana"/>
          <w:sz w:val="22"/>
          <w:szCs w:val="22"/>
        </w:rPr>
        <w:t xml:space="preserve"> prevé que cuando fuere impracticable el disfrute de bienes comunales en régimen de explotación común o cultivo colectivo </w:t>
      </w:r>
      <w:r w:rsidR="00424B71" w:rsidRPr="00CC673B">
        <w:rPr>
          <w:rFonts w:ascii="Verdana" w:hAnsi="Verdana"/>
          <w:sz w:val="22"/>
          <w:szCs w:val="22"/>
        </w:rPr>
        <w:t xml:space="preserve">y no resultaren posibles </w:t>
      </w:r>
      <w:r w:rsidR="00F3189C" w:rsidRPr="00CC673B">
        <w:rPr>
          <w:rFonts w:ascii="Verdana" w:hAnsi="Verdana"/>
          <w:sz w:val="22"/>
          <w:szCs w:val="22"/>
        </w:rPr>
        <w:t xml:space="preserve">las formas </w:t>
      </w:r>
      <w:r w:rsidR="00424B71" w:rsidRPr="00CC673B">
        <w:rPr>
          <w:rFonts w:ascii="Verdana" w:hAnsi="Verdana"/>
          <w:sz w:val="22"/>
          <w:szCs w:val="22"/>
        </w:rPr>
        <w:t>de a</w:t>
      </w:r>
      <w:r w:rsidR="00F3189C" w:rsidRPr="00CC673B">
        <w:rPr>
          <w:rFonts w:ascii="Verdana" w:hAnsi="Verdana"/>
          <w:sz w:val="22"/>
          <w:szCs w:val="22"/>
        </w:rPr>
        <w:t>provechamiento peculiar, según costumbre o reglamentación local, o</w:t>
      </w:r>
      <w:r w:rsidR="00424B71" w:rsidRPr="00CC673B">
        <w:rPr>
          <w:rFonts w:ascii="Verdana" w:hAnsi="Verdana"/>
          <w:sz w:val="22"/>
          <w:szCs w:val="22"/>
        </w:rPr>
        <w:t xml:space="preserve"> de a</w:t>
      </w:r>
      <w:r w:rsidR="00F3189C" w:rsidRPr="00CC673B">
        <w:rPr>
          <w:rFonts w:ascii="Verdana" w:hAnsi="Verdana"/>
          <w:sz w:val="22"/>
          <w:szCs w:val="22"/>
        </w:rPr>
        <w:t>djudicación por lotes o suertes</w:t>
      </w:r>
      <w:r w:rsidR="00424B71" w:rsidRPr="00CC673B">
        <w:rPr>
          <w:rFonts w:ascii="Verdana" w:hAnsi="Verdana"/>
          <w:sz w:val="22"/>
          <w:szCs w:val="22"/>
        </w:rPr>
        <w:t xml:space="preserve">, </w:t>
      </w:r>
      <w:r w:rsidR="00F3189C" w:rsidRPr="00CC673B">
        <w:rPr>
          <w:rFonts w:ascii="Verdana" w:hAnsi="Verdana"/>
          <w:sz w:val="22"/>
          <w:szCs w:val="22"/>
        </w:rPr>
        <w:t>se acudirá a la adjudicación mediante precio.</w:t>
      </w:r>
      <w:r w:rsidR="00082829" w:rsidRPr="00CC673B">
        <w:rPr>
          <w:rFonts w:ascii="Verdana" w:hAnsi="Verdana"/>
          <w:sz w:val="22"/>
          <w:szCs w:val="22"/>
        </w:rPr>
        <w:t xml:space="preserve"> La adjudicación de un bien de dominio público mediante precio se enmarca en la figura concesional.</w:t>
      </w:r>
    </w:p>
    <w:p w14:paraId="203EA455" w14:textId="77777777" w:rsidR="00082829" w:rsidRPr="00CC673B" w:rsidRDefault="00082829" w:rsidP="004E0848">
      <w:pPr>
        <w:pStyle w:val="parrafo"/>
        <w:spacing w:before="0" w:beforeAutospacing="0" w:after="0" w:afterAutospacing="0"/>
        <w:ind w:firstLine="360"/>
        <w:jc w:val="both"/>
        <w:rPr>
          <w:rFonts w:ascii="Verdana" w:hAnsi="Verdana"/>
          <w:sz w:val="22"/>
          <w:szCs w:val="22"/>
        </w:rPr>
      </w:pPr>
    </w:p>
    <w:p w14:paraId="1E330B53" w14:textId="77777777" w:rsidR="00082829" w:rsidRPr="00CC673B" w:rsidRDefault="00082829" w:rsidP="004E0848">
      <w:pPr>
        <w:spacing w:before="0" w:beforeAutospacing="0" w:after="0" w:afterAutospacing="0"/>
        <w:ind w:firstLine="708"/>
        <w:rPr>
          <w:rFonts w:ascii="Verdana" w:eastAsia="Times New Roman" w:hAnsi="Verdana" w:cs="Tahoma"/>
          <w:lang w:eastAsia="es-ES"/>
        </w:rPr>
      </w:pPr>
      <w:r w:rsidRPr="00CC673B">
        <w:rPr>
          <w:rFonts w:ascii="Verdana" w:eastAsia="Times New Roman" w:hAnsi="Verdana" w:cs="Tahoma"/>
          <w:lang w:eastAsia="es-ES"/>
        </w:rPr>
        <w:t>El artículo 7 de la Ley 37/1992, de 28 de diciembre</w:t>
      </w:r>
      <w:r w:rsidR="004E0848">
        <w:rPr>
          <w:rFonts w:ascii="Verdana" w:eastAsia="Times New Roman" w:hAnsi="Verdana" w:cs="Tahoma"/>
          <w:lang w:eastAsia="es-ES"/>
        </w:rPr>
        <w:t xml:space="preserve"> </w:t>
      </w:r>
      <w:r w:rsidRPr="004E0848">
        <w:rPr>
          <w:rFonts w:ascii="Verdana" w:eastAsia="Times New Roman" w:hAnsi="Verdana" w:cs="Tahoma"/>
          <w:lang w:eastAsia="es-ES"/>
        </w:rPr>
        <w:t>(BOE</w:t>
      </w:r>
      <w:r w:rsidRPr="00CC673B">
        <w:rPr>
          <w:rFonts w:ascii="Verdana" w:eastAsia="Times New Roman" w:hAnsi="Verdana" w:cs="Tahoma"/>
          <w:lang w:eastAsia="es-ES"/>
        </w:rPr>
        <w:t xml:space="preserve"> del 29), del Impuesto sobre el Valor Añadido (LIVA) regula las operaciones no sujetas al impuesto y establece, en su apartado 9.º, que no estarán sujetas las concesiones y autorizaciones administrativas, con excepción de las siguientes:</w:t>
      </w:r>
    </w:p>
    <w:p w14:paraId="27463CB4" w14:textId="77777777" w:rsidR="00082829" w:rsidRPr="00CC673B" w:rsidRDefault="00082829" w:rsidP="00D0164C">
      <w:pPr>
        <w:ind w:firstLine="709"/>
        <w:rPr>
          <w:rFonts w:ascii="Verdana" w:eastAsia="Times New Roman" w:hAnsi="Verdana" w:cs="Tahoma"/>
          <w:lang w:eastAsia="es-ES"/>
        </w:rPr>
      </w:pPr>
      <w:r w:rsidRPr="00CC673B">
        <w:rPr>
          <w:rFonts w:ascii="Verdana" w:eastAsia="Times New Roman" w:hAnsi="Verdana" w:cs="Tahoma"/>
          <w:lang w:eastAsia="es-ES"/>
        </w:rPr>
        <w:t xml:space="preserve">a. Las que tengan por objeto la cesión del derecho a utilizar el dominio público portuario. </w:t>
      </w:r>
    </w:p>
    <w:p w14:paraId="4C939F27" w14:textId="77777777" w:rsidR="00082829" w:rsidRPr="00CC673B" w:rsidRDefault="00082829" w:rsidP="00D0164C">
      <w:pPr>
        <w:ind w:firstLine="709"/>
        <w:rPr>
          <w:rFonts w:ascii="Verdana" w:eastAsia="Times New Roman" w:hAnsi="Verdana" w:cs="Tahoma"/>
          <w:lang w:eastAsia="es-ES"/>
        </w:rPr>
      </w:pPr>
      <w:r w:rsidRPr="00CC673B">
        <w:rPr>
          <w:rFonts w:ascii="Verdana" w:eastAsia="Times New Roman" w:hAnsi="Verdana" w:cs="Tahoma"/>
          <w:lang w:eastAsia="es-ES"/>
        </w:rPr>
        <w:t xml:space="preserve">b. Las que tengan por objeto la cesión de los inmuebles e instalaciones en aeropuertos. </w:t>
      </w:r>
    </w:p>
    <w:p w14:paraId="564D8C3C" w14:textId="77777777" w:rsidR="00082829" w:rsidRPr="00CC673B" w:rsidRDefault="00082829" w:rsidP="00D0164C">
      <w:pPr>
        <w:ind w:firstLine="709"/>
        <w:rPr>
          <w:rFonts w:ascii="Verdana" w:eastAsia="Times New Roman" w:hAnsi="Verdana" w:cs="Tahoma"/>
          <w:lang w:eastAsia="es-ES"/>
        </w:rPr>
      </w:pPr>
      <w:r w:rsidRPr="00CC673B">
        <w:rPr>
          <w:rFonts w:ascii="Verdana" w:eastAsia="Times New Roman" w:hAnsi="Verdana" w:cs="Tahoma"/>
          <w:lang w:eastAsia="es-ES"/>
        </w:rPr>
        <w:t xml:space="preserve">c. Las que tengan por objeto la cesión del derecho a utilizar infraestructuras ferroviarias. </w:t>
      </w:r>
    </w:p>
    <w:p w14:paraId="7809B74E" w14:textId="77777777" w:rsidR="00082829" w:rsidRPr="00CC673B" w:rsidRDefault="00082829" w:rsidP="00D0164C">
      <w:pPr>
        <w:ind w:firstLine="709"/>
        <w:rPr>
          <w:rFonts w:ascii="Verdana" w:eastAsia="Times New Roman" w:hAnsi="Verdana" w:cs="Tahoma"/>
          <w:lang w:eastAsia="es-ES"/>
        </w:rPr>
      </w:pPr>
      <w:r w:rsidRPr="00CC673B">
        <w:rPr>
          <w:rFonts w:ascii="Verdana" w:eastAsia="Times New Roman" w:hAnsi="Verdana" w:cs="Tahoma"/>
          <w:lang w:eastAsia="es-ES"/>
        </w:rPr>
        <w:t xml:space="preserve">d. Las autorizaciones para la prestación de servicios al público y para el desarrollo de actividades comerciales o industriales en el ámbito portuario. </w:t>
      </w:r>
    </w:p>
    <w:p w14:paraId="27CA1F8D" w14:textId="77777777" w:rsidR="00A1269B" w:rsidRPr="00CC673B" w:rsidRDefault="00D0164C" w:rsidP="00D0164C">
      <w:pPr>
        <w:spacing w:before="0" w:beforeAutospacing="0" w:after="0" w:afterAutospacing="0"/>
        <w:ind w:firstLine="708"/>
        <w:rPr>
          <w:rFonts w:ascii="Verdana" w:eastAsia="Times New Roman" w:hAnsi="Verdana" w:cs="Tahoma"/>
          <w:lang w:eastAsia="es-ES"/>
        </w:rPr>
      </w:pPr>
      <w:r w:rsidRPr="00CC673B">
        <w:rPr>
          <w:rFonts w:ascii="Verdana" w:eastAsia="Times New Roman" w:hAnsi="Verdana" w:cs="Tahoma"/>
          <w:lang w:eastAsia="es-ES"/>
        </w:rPr>
        <w:t>Conforme a</w:t>
      </w:r>
      <w:r w:rsidR="00082829" w:rsidRPr="00CC673B">
        <w:rPr>
          <w:rFonts w:ascii="Verdana" w:eastAsia="Times New Roman" w:hAnsi="Verdana" w:cs="Tahoma"/>
          <w:lang w:eastAsia="es-ES"/>
        </w:rPr>
        <w:t xml:space="preserve"> este precepto, debe entenderse que </w:t>
      </w:r>
      <w:r w:rsidR="00406597" w:rsidRPr="00CC673B">
        <w:rPr>
          <w:rFonts w:ascii="Verdana" w:eastAsia="Times New Roman" w:hAnsi="Verdana" w:cs="Tahoma"/>
          <w:lang w:eastAsia="es-ES"/>
        </w:rPr>
        <w:t xml:space="preserve">no está sujeta a IVA </w:t>
      </w:r>
      <w:r w:rsidR="00082829" w:rsidRPr="00CC673B">
        <w:rPr>
          <w:rFonts w:ascii="Verdana" w:eastAsia="Times New Roman" w:hAnsi="Verdana" w:cs="Tahoma"/>
          <w:lang w:eastAsia="es-ES"/>
        </w:rPr>
        <w:t xml:space="preserve">la concesión administrativa </w:t>
      </w:r>
      <w:r w:rsidR="00406597" w:rsidRPr="00CC673B">
        <w:rPr>
          <w:rFonts w:ascii="Verdana" w:eastAsia="Times New Roman" w:hAnsi="Verdana" w:cs="Tahoma"/>
          <w:lang w:eastAsia="es-ES"/>
        </w:rPr>
        <w:t xml:space="preserve">otorgada por un Ente Local </w:t>
      </w:r>
      <w:r w:rsidR="00082829" w:rsidRPr="00CC673B">
        <w:rPr>
          <w:rFonts w:ascii="Verdana" w:eastAsia="Times New Roman" w:hAnsi="Verdana" w:cs="Tahoma"/>
          <w:lang w:eastAsia="es-ES"/>
        </w:rPr>
        <w:t>sobre</w:t>
      </w:r>
      <w:r w:rsidR="00406597" w:rsidRPr="00CC673B">
        <w:rPr>
          <w:rFonts w:ascii="Verdana" w:eastAsia="Times New Roman" w:hAnsi="Verdana" w:cs="Tahoma"/>
          <w:lang w:eastAsia="es-ES"/>
        </w:rPr>
        <w:t xml:space="preserve"> sus</w:t>
      </w:r>
      <w:r w:rsidR="00082829" w:rsidRPr="00CC673B">
        <w:rPr>
          <w:rFonts w:ascii="Verdana" w:eastAsia="Times New Roman" w:hAnsi="Verdana" w:cs="Tahoma"/>
          <w:lang w:eastAsia="es-ES"/>
        </w:rPr>
        <w:t xml:space="preserve"> bienes</w:t>
      </w:r>
      <w:r w:rsidR="00406597" w:rsidRPr="00CC673B">
        <w:rPr>
          <w:rFonts w:ascii="Verdana" w:eastAsia="Times New Roman" w:hAnsi="Verdana" w:cs="Tahoma"/>
          <w:lang w:eastAsia="es-ES"/>
        </w:rPr>
        <w:t xml:space="preserve"> (con las limitadas excepciones de que afecten a inmuebles afectos a actividades portuarias, aeroportuarias o ferroviarias)</w:t>
      </w:r>
      <w:r w:rsidR="00082829" w:rsidRPr="00CC673B">
        <w:rPr>
          <w:rFonts w:ascii="Verdana" w:eastAsia="Times New Roman" w:hAnsi="Verdana" w:cs="Tahoma"/>
          <w:lang w:eastAsia="es-ES"/>
        </w:rPr>
        <w:t>.</w:t>
      </w:r>
    </w:p>
    <w:p w14:paraId="10293393" w14:textId="77777777" w:rsidR="00CF3CD5" w:rsidRPr="00CC673B" w:rsidRDefault="00CF3CD5" w:rsidP="00CF3CD5">
      <w:pPr>
        <w:pStyle w:val="NormalWeb"/>
        <w:shd w:val="clear" w:color="auto" w:fill="FFFFFF"/>
        <w:ind w:firstLine="708"/>
        <w:jc w:val="both"/>
        <w:rPr>
          <w:rFonts w:ascii="Verdana" w:hAnsi="Verdana"/>
          <w:sz w:val="22"/>
          <w:szCs w:val="22"/>
        </w:rPr>
      </w:pPr>
      <w:r w:rsidRPr="00CC673B">
        <w:rPr>
          <w:rFonts w:ascii="Verdana" w:hAnsi="Verdana"/>
          <w:sz w:val="22"/>
          <w:szCs w:val="22"/>
        </w:rPr>
        <w:t>En la medida en que el objeto explotado en estas instituciones tiene la naturaleza de </w:t>
      </w:r>
      <w:r w:rsidRPr="00CC673B">
        <w:rPr>
          <w:rStyle w:val="Textoennegrita"/>
          <w:rFonts w:ascii="Verdana" w:hAnsi="Verdana"/>
          <w:b w:val="0"/>
          <w:bCs w:val="0"/>
          <w:sz w:val="22"/>
          <w:szCs w:val="22"/>
        </w:rPr>
        <w:t>servicio público</w:t>
      </w:r>
      <w:r w:rsidRPr="00CC673B">
        <w:rPr>
          <w:rFonts w:ascii="Verdana" w:hAnsi="Verdana"/>
          <w:sz w:val="22"/>
          <w:szCs w:val="22"/>
        </w:rPr>
        <w:t> y lo que se concede es la autorización o licencia para su </w:t>
      </w:r>
      <w:r w:rsidRPr="00CC673B">
        <w:rPr>
          <w:rStyle w:val="Textoennegrita"/>
          <w:rFonts w:ascii="Verdana" w:hAnsi="Verdana"/>
          <w:b w:val="0"/>
          <w:bCs w:val="0"/>
          <w:sz w:val="22"/>
          <w:szCs w:val="22"/>
        </w:rPr>
        <w:t>explotación</w:t>
      </w:r>
      <w:r w:rsidRPr="00CC673B">
        <w:rPr>
          <w:rFonts w:ascii="Verdana" w:hAnsi="Verdana"/>
          <w:sz w:val="22"/>
          <w:szCs w:val="22"/>
        </w:rPr>
        <w:t>, el art</w:t>
      </w:r>
      <w:r w:rsidR="006B7218" w:rsidRPr="00CC673B">
        <w:rPr>
          <w:rFonts w:ascii="Verdana" w:hAnsi="Verdana"/>
          <w:sz w:val="22"/>
          <w:szCs w:val="22"/>
        </w:rPr>
        <w:t>ículo</w:t>
      </w:r>
      <w:r w:rsidRPr="00CC673B">
        <w:rPr>
          <w:rFonts w:ascii="Verdana" w:hAnsi="Verdana"/>
          <w:sz w:val="22"/>
          <w:szCs w:val="22"/>
        </w:rPr>
        <w:t xml:space="preserve"> 7.9 LIVA declara la no sujeción al tributo de la concesión administrativa, no debiendo el Ente Local contratante repercutir cuota de IVA al concesionario con ocasión de su concesión.</w:t>
      </w:r>
    </w:p>
    <w:p w14:paraId="17AC4F98" w14:textId="77777777" w:rsidR="00CF3CD5" w:rsidRPr="00CC673B" w:rsidRDefault="00CF3CD5" w:rsidP="00D0164C">
      <w:pPr>
        <w:spacing w:before="0" w:beforeAutospacing="0" w:after="0" w:afterAutospacing="0"/>
        <w:ind w:firstLine="708"/>
        <w:rPr>
          <w:rFonts w:ascii="Verdana" w:eastAsia="Times New Roman" w:hAnsi="Verdana" w:cs="Tahoma"/>
          <w:lang w:eastAsia="es-ES"/>
        </w:rPr>
      </w:pPr>
    </w:p>
    <w:p w14:paraId="48762EBE" w14:textId="77777777" w:rsidR="0085364D" w:rsidRPr="00CC673B" w:rsidRDefault="0085364D" w:rsidP="00D0164C">
      <w:pPr>
        <w:spacing w:before="0" w:beforeAutospacing="0" w:after="0" w:afterAutospacing="0"/>
        <w:ind w:firstLine="708"/>
        <w:rPr>
          <w:rFonts w:ascii="Verdana" w:eastAsia="Times New Roman" w:hAnsi="Verdana" w:cs="Tahoma"/>
          <w:lang w:eastAsia="es-ES"/>
        </w:rPr>
      </w:pPr>
      <w:r w:rsidRPr="00CC673B">
        <w:rPr>
          <w:rFonts w:ascii="Verdana" w:eastAsia="Times New Roman" w:hAnsi="Verdana" w:cs="Tahoma"/>
          <w:lang w:eastAsia="es-ES"/>
        </w:rPr>
        <w:t xml:space="preserve">Por cuanto se refiere a los </w:t>
      </w:r>
      <w:r w:rsidR="004E0848" w:rsidRPr="004E0848">
        <w:rPr>
          <w:rFonts w:ascii="Verdana" w:eastAsia="Times New Roman" w:hAnsi="Verdana" w:cs="Tahoma"/>
          <w:b/>
          <w:bCs/>
          <w:lang w:eastAsia="es-ES"/>
        </w:rPr>
        <w:t>BIENES PATRIMONIALES</w:t>
      </w:r>
      <w:r w:rsidR="008461BF" w:rsidRPr="00CC673B">
        <w:rPr>
          <w:rFonts w:ascii="Verdana" w:eastAsia="Times New Roman" w:hAnsi="Verdana" w:cs="Tahoma"/>
          <w:lang w:eastAsia="es-ES"/>
        </w:rPr>
        <w:t>, d</w:t>
      </w:r>
      <w:r w:rsidRPr="00CC673B">
        <w:rPr>
          <w:rFonts w:ascii="Verdana" w:eastAsia="Times New Roman" w:hAnsi="Verdana" w:cs="Tahoma"/>
          <w:lang w:eastAsia="es-ES"/>
        </w:rPr>
        <w:t>e acuerdo con el art</w:t>
      </w:r>
      <w:r w:rsidR="00406597" w:rsidRPr="00CC673B">
        <w:rPr>
          <w:rFonts w:ascii="Verdana" w:eastAsia="Times New Roman" w:hAnsi="Verdana" w:cs="Tahoma"/>
          <w:lang w:eastAsia="es-ES"/>
        </w:rPr>
        <w:t>ículo</w:t>
      </w:r>
      <w:r w:rsidRPr="00CC673B">
        <w:rPr>
          <w:rFonts w:ascii="Verdana" w:eastAsia="Times New Roman" w:hAnsi="Verdana" w:cs="Tahoma"/>
          <w:lang w:eastAsia="es-ES"/>
        </w:rPr>
        <w:t xml:space="preserve"> 92 del </w:t>
      </w:r>
      <w:r w:rsidR="006B7218" w:rsidRPr="00CC673B">
        <w:rPr>
          <w:rFonts w:ascii="Verdana" w:eastAsia="Times New Roman" w:hAnsi="Verdana" w:cs="Tahoma"/>
          <w:lang w:eastAsia="es-ES"/>
        </w:rPr>
        <w:t>RBEL</w:t>
      </w:r>
      <w:r w:rsidRPr="00CC673B">
        <w:rPr>
          <w:rFonts w:ascii="Verdana" w:eastAsia="Times New Roman" w:hAnsi="Verdana" w:cs="Tahoma"/>
          <w:lang w:eastAsia="es-ES"/>
        </w:rPr>
        <w:t xml:space="preserve">, </w:t>
      </w:r>
      <w:r w:rsidR="00D0164C" w:rsidRPr="00CC673B">
        <w:rPr>
          <w:rFonts w:ascii="Verdana" w:eastAsia="Times New Roman" w:hAnsi="Verdana" w:cs="Tahoma"/>
          <w:lang w:eastAsia="es-ES"/>
        </w:rPr>
        <w:t xml:space="preserve">las Entidades Locales </w:t>
      </w:r>
      <w:r w:rsidRPr="00CC673B">
        <w:rPr>
          <w:rFonts w:ascii="Verdana" w:eastAsia="Times New Roman" w:hAnsi="Verdana" w:cs="Tahoma"/>
          <w:lang w:eastAsia="es-ES"/>
        </w:rPr>
        <w:t xml:space="preserve">pueden llevar a cabo el arrendamiento y cesión de uso de sus bienes patrimoniales, de conformidad con lo establecido en el propio </w:t>
      </w:r>
      <w:r w:rsidR="00D0164C" w:rsidRPr="00CC673B">
        <w:rPr>
          <w:rFonts w:ascii="Verdana" w:eastAsia="Times New Roman" w:hAnsi="Verdana" w:cs="Tahoma"/>
          <w:lang w:eastAsia="es-ES"/>
        </w:rPr>
        <w:t xml:space="preserve">RBEL </w:t>
      </w:r>
      <w:r w:rsidRPr="00CC673B">
        <w:rPr>
          <w:rFonts w:ascii="Verdana" w:eastAsia="Times New Roman" w:hAnsi="Verdana" w:cs="Tahoma"/>
          <w:lang w:eastAsia="es-ES"/>
        </w:rPr>
        <w:t>y en los art</w:t>
      </w:r>
      <w:r w:rsidR="006B7218" w:rsidRPr="00CC673B">
        <w:rPr>
          <w:rFonts w:ascii="Verdana" w:eastAsia="Times New Roman" w:hAnsi="Verdana" w:cs="Tahoma"/>
          <w:lang w:eastAsia="es-ES"/>
        </w:rPr>
        <w:t>ículos</w:t>
      </w:r>
      <w:r w:rsidRPr="00CC673B">
        <w:rPr>
          <w:rFonts w:ascii="Verdana" w:eastAsia="Times New Roman" w:hAnsi="Verdana" w:cs="Tahoma"/>
          <w:lang w:eastAsia="es-ES"/>
        </w:rPr>
        <w:t xml:space="preserve"> 106 y 107 de la Ley 33/2003, de 3 de noviembre, del Patrimonio de las Administraciones Públicas (LPAP).</w:t>
      </w:r>
    </w:p>
    <w:p w14:paraId="78EC1586" w14:textId="77777777" w:rsidR="008461BF" w:rsidRPr="00CC673B" w:rsidRDefault="0085364D" w:rsidP="00D0164C">
      <w:pPr>
        <w:pStyle w:val="NormalWeb"/>
        <w:shd w:val="clear" w:color="auto" w:fill="FFFFFF"/>
        <w:ind w:firstLine="708"/>
        <w:jc w:val="both"/>
        <w:rPr>
          <w:rFonts w:ascii="Verdana" w:hAnsi="Verdana"/>
          <w:sz w:val="22"/>
          <w:szCs w:val="22"/>
        </w:rPr>
      </w:pPr>
      <w:r w:rsidRPr="00CC673B">
        <w:rPr>
          <w:rFonts w:ascii="Verdana" w:hAnsi="Verdana"/>
          <w:sz w:val="22"/>
          <w:szCs w:val="22"/>
        </w:rPr>
        <w:lastRenderedPageBreak/>
        <w:t xml:space="preserve">El número 23 del artículo 20 de la LIVA establece que estarán </w:t>
      </w:r>
      <w:r w:rsidRPr="00CC673B">
        <w:rPr>
          <w:rFonts w:ascii="Verdana" w:hAnsi="Verdana"/>
          <w:b/>
          <w:bCs/>
          <w:sz w:val="22"/>
          <w:szCs w:val="22"/>
        </w:rPr>
        <w:t>exentos</w:t>
      </w:r>
      <w:r w:rsidRPr="00CC673B">
        <w:rPr>
          <w:rFonts w:ascii="Verdana" w:hAnsi="Verdana"/>
          <w:sz w:val="22"/>
          <w:szCs w:val="22"/>
        </w:rPr>
        <w:t xml:space="preserve"> del impuesto</w:t>
      </w:r>
      <w:r w:rsidR="004E0848">
        <w:rPr>
          <w:rFonts w:ascii="Verdana" w:hAnsi="Verdana"/>
          <w:sz w:val="22"/>
          <w:szCs w:val="22"/>
        </w:rPr>
        <w:t xml:space="preserve"> los supuestos que se citan seguidamente en los párrafos reseñados con las letras A y B, respecto de los que se hará una reflexión jurídica con fin de esclarecer el alcance de las </w:t>
      </w:r>
      <w:r w:rsidR="005D6228">
        <w:rPr>
          <w:rFonts w:ascii="Verdana" w:hAnsi="Verdana"/>
          <w:sz w:val="22"/>
          <w:szCs w:val="22"/>
        </w:rPr>
        <w:t xml:space="preserve">respectivamente </w:t>
      </w:r>
      <w:r w:rsidR="004E0848">
        <w:rPr>
          <w:rFonts w:ascii="Verdana" w:hAnsi="Verdana"/>
          <w:sz w:val="22"/>
          <w:szCs w:val="22"/>
        </w:rPr>
        <w:t>exenciones</w:t>
      </w:r>
      <w:r w:rsidR="008461BF" w:rsidRPr="00CC673B">
        <w:rPr>
          <w:rFonts w:ascii="Verdana" w:hAnsi="Verdana"/>
          <w:sz w:val="22"/>
          <w:szCs w:val="22"/>
        </w:rPr>
        <w:t>:</w:t>
      </w:r>
    </w:p>
    <w:p w14:paraId="1402A21B" w14:textId="77777777" w:rsidR="00A22F5E" w:rsidRPr="00CC673B" w:rsidRDefault="00CF3CD5" w:rsidP="00D0164C">
      <w:pPr>
        <w:pStyle w:val="NormalWeb"/>
        <w:shd w:val="clear" w:color="auto" w:fill="FFFFFF"/>
        <w:ind w:firstLine="708"/>
        <w:jc w:val="both"/>
        <w:rPr>
          <w:rFonts w:ascii="Verdana" w:hAnsi="Verdana"/>
          <w:sz w:val="22"/>
          <w:szCs w:val="22"/>
        </w:rPr>
      </w:pPr>
      <w:r w:rsidRPr="00CC673B">
        <w:rPr>
          <w:rFonts w:ascii="Verdana" w:hAnsi="Verdana"/>
          <w:b/>
          <w:bCs/>
          <w:sz w:val="22"/>
          <w:szCs w:val="22"/>
        </w:rPr>
        <w:t>A</w:t>
      </w:r>
      <w:r w:rsidRPr="00CC673B">
        <w:rPr>
          <w:rFonts w:ascii="Verdana" w:hAnsi="Verdana"/>
          <w:sz w:val="22"/>
          <w:szCs w:val="22"/>
        </w:rPr>
        <w:t xml:space="preserve"> </w:t>
      </w:r>
      <w:r w:rsidR="008461BF" w:rsidRPr="00CC673B">
        <w:rPr>
          <w:rFonts w:ascii="Verdana" w:hAnsi="Verdana"/>
          <w:sz w:val="22"/>
          <w:szCs w:val="22"/>
        </w:rPr>
        <w:t>-</w:t>
      </w:r>
      <w:r w:rsidR="0085364D" w:rsidRPr="00CC673B">
        <w:rPr>
          <w:rFonts w:ascii="Verdana" w:hAnsi="Verdana"/>
          <w:sz w:val="22"/>
          <w:szCs w:val="22"/>
        </w:rPr>
        <w:t xml:space="preserve"> </w:t>
      </w:r>
      <w:r w:rsidR="008461BF" w:rsidRPr="00CC673B">
        <w:rPr>
          <w:rFonts w:ascii="Verdana" w:hAnsi="Verdana"/>
          <w:sz w:val="22"/>
          <w:szCs w:val="22"/>
        </w:rPr>
        <w:t>L</w:t>
      </w:r>
      <w:r w:rsidR="0085364D" w:rsidRPr="00CC673B">
        <w:rPr>
          <w:rFonts w:ascii="Verdana" w:hAnsi="Verdana"/>
          <w:sz w:val="22"/>
          <w:szCs w:val="22"/>
        </w:rPr>
        <w:t xml:space="preserve">os </w:t>
      </w:r>
      <w:r w:rsidR="0085364D" w:rsidRPr="00CC673B">
        <w:rPr>
          <w:rFonts w:ascii="Verdana" w:hAnsi="Verdana"/>
          <w:b/>
          <w:bCs/>
          <w:sz w:val="22"/>
          <w:szCs w:val="22"/>
        </w:rPr>
        <w:t>arrendamientos que tengan la consideración de servicios</w:t>
      </w:r>
      <w:r w:rsidR="0085364D" w:rsidRPr="00CC673B">
        <w:rPr>
          <w:rFonts w:ascii="Verdana" w:hAnsi="Verdana"/>
          <w:sz w:val="22"/>
          <w:szCs w:val="22"/>
        </w:rPr>
        <w:t xml:space="preserve"> con arreglo a lo dispuesto en el artículo 11 de esta Ley</w:t>
      </w:r>
      <w:r w:rsidR="00200D06" w:rsidRPr="00CC673B">
        <w:rPr>
          <w:rFonts w:ascii="Verdana" w:hAnsi="Verdana"/>
          <w:sz w:val="22"/>
          <w:szCs w:val="22"/>
        </w:rPr>
        <w:t xml:space="preserve">. </w:t>
      </w:r>
      <w:r w:rsidR="00CE24DE" w:rsidRPr="00CC673B">
        <w:rPr>
          <w:rFonts w:ascii="Verdana" w:hAnsi="Verdana"/>
          <w:sz w:val="22"/>
          <w:szCs w:val="22"/>
        </w:rPr>
        <w:t>El a</w:t>
      </w:r>
      <w:r w:rsidR="00A22F5E" w:rsidRPr="00CC673B">
        <w:rPr>
          <w:rFonts w:ascii="Verdana" w:hAnsi="Verdana"/>
          <w:sz w:val="22"/>
          <w:szCs w:val="22"/>
        </w:rPr>
        <w:t>rtículo 11</w:t>
      </w:r>
      <w:r w:rsidR="00CE24DE" w:rsidRPr="00CC673B">
        <w:rPr>
          <w:rFonts w:ascii="Verdana" w:hAnsi="Verdana"/>
          <w:sz w:val="22"/>
          <w:szCs w:val="22"/>
        </w:rPr>
        <w:t xml:space="preserve"> de referencia prevé</w:t>
      </w:r>
      <w:r w:rsidR="00200D06" w:rsidRPr="00CC673B">
        <w:rPr>
          <w:rFonts w:ascii="Verdana" w:hAnsi="Verdana"/>
          <w:sz w:val="22"/>
          <w:szCs w:val="22"/>
        </w:rPr>
        <w:t xml:space="preserve">, en su apartado 2º, </w:t>
      </w:r>
      <w:r w:rsidR="00CE24DE" w:rsidRPr="00CC673B">
        <w:rPr>
          <w:rFonts w:ascii="Verdana" w:hAnsi="Verdana"/>
          <w:sz w:val="22"/>
          <w:szCs w:val="22"/>
        </w:rPr>
        <w:t>que</w:t>
      </w:r>
      <w:r w:rsidR="00A22F5E" w:rsidRPr="00CC673B">
        <w:rPr>
          <w:rFonts w:ascii="Verdana" w:hAnsi="Verdana"/>
          <w:sz w:val="22"/>
          <w:szCs w:val="22"/>
        </w:rPr>
        <w:t xml:space="preserve"> se considerarán prestaciones de servicios</w:t>
      </w:r>
      <w:r w:rsidR="00200D06" w:rsidRPr="00CC673B">
        <w:rPr>
          <w:rFonts w:ascii="Verdana" w:hAnsi="Verdana"/>
          <w:sz w:val="22"/>
          <w:szCs w:val="22"/>
        </w:rPr>
        <w:t xml:space="preserve"> l</w:t>
      </w:r>
      <w:r w:rsidR="00A22F5E" w:rsidRPr="00CC673B">
        <w:rPr>
          <w:rFonts w:ascii="Verdana" w:hAnsi="Verdana"/>
          <w:sz w:val="22"/>
          <w:szCs w:val="22"/>
        </w:rPr>
        <w:t>os arrendamientos de bienes, con o sin opción de compra.</w:t>
      </w:r>
    </w:p>
    <w:p w14:paraId="441192FE" w14:textId="77777777" w:rsidR="00A20C0F" w:rsidRPr="00CC673B" w:rsidRDefault="001F377F" w:rsidP="001F377F">
      <w:pPr>
        <w:pStyle w:val="NormalWeb"/>
        <w:shd w:val="clear" w:color="auto" w:fill="FFFFFF"/>
        <w:ind w:firstLine="708"/>
        <w:jc w:val="both"/>
        <w:rPr>
          <w:rFonts w:ascii="Verdana" w:hAnsi="Verdana"/>
          <w:sz w:val="22"/>
          <w:szCs w:val="22"/>
        </w:rPr>
      </w:pPr>
      <w:r w:rsidRPr="00CC673B">
        <w:rPr>
          <w:rFonts w:ascii="Verdana" w:hAnsi="Verdana"/>
          <w:sz w:val="22"/>
          <w:szCs w:val="22"/>
        </w:rPr>
        <w:t xml:space="preserve">Podría entenderse que concurre tal circunstancia </w:t>
      </w:r>
      <w:r w:rsidR="009B20C6" w:rsidRPr="00CC673B">
        <w:rPr>
          <w:rFonts w:ascii="Verdana" w:hAnsi="Verdana"/>
          <w:sz w:val="22"/>
          <w:szCs w:val="22"/>
        </w:rPr>
        <w:t>de arre</w:t>
      </w:r>
      <w:r w:rsidR="004E0848">
        <w:rPr>
          <w:rFonts w:ascii="Verdana" w:hAnsi="Verdana"/>
          <w:sz w:val="22"/>
          <w:szCs w:val="22"/>
        </w:rPr>
        <w:t>n</w:t>
      </w:r>
      <w:r w:rsidR="009B20C6" w:rsidRPr="00CC673B">
        <w:rPr>
          <w:rFonts w:ascii="Verdana" w:hAnsi="Verdana"/>
          <w:sz w:val="22"/>
          <w:szCs w:val="22"/>
        </w:rPr>
        <w:t xml:space="preserve">damiento considerado de servicios </w:t>
      </w:r>
      <w:r w:rsidR="005D6228">
        <w:rPr>
          <w:rFonts w:ascii="Verdana" w:hAnsi="Verdana"/>
          <w:sz w:val="22"/>
          <w:szCs w:val="22"/>
        </w:rPr>
        <w:t xml:space="preserve">(y por tanto exento de IVA) </w:t>
      </w:r>
      <w:r w:rsidR="00A20C0F" w:rsidRPr="00CC673B">
        <w:rPr>
          <w:rFonts w:ascii="Verdana" w:hAnsi="Verdana"/>
          <w:sz w:val="22"/>
          <w:szCs w:val="22"/>
        </w:rPr>
        <w:t xml:space="preserve">si el arrendamiento es con la finalidad de que se destine </w:t>
      </w:r>
      <w:r w:rsidR="009B20C6" w:rsidRPr="00CC673B">
        <w:rPr>
          <w:rFonts w:ascii="Verdana" w:hAnsi="Verdana"/>
          <w:sz w:val="22"/>
          <w:szCs w:val="22"/>
        </w:rPr>
        <w:t xml:space="preserve">el bien arrendado </w:t>
      </w:r>
      <w:r w:rsidR="00A20C0F" w:rsidRPr="00CC673B">
        <w:rPr>
          <w:rFonts w:ascii="Verdana" w:hAnsi="Verdana"/>
          <w:sz w:val="22"/>
          <w:szCs w:val="22"/>
        </w:rPr>
        <w:t>a</w:t>
      </w:r>
      <w:r w:rsidRPr="00CC673B">
        <w:rPr>
          <w:rFonts w:ascii="Verdana" w:hAnsi="Verdana"/>
          <w:sz w:val="22"/>
          <w:szCs w:val="22"/>
        </w:rPr>
        <w:t xml:space="preserve">l servicio de </w:t>
      </w:r>
      <w:r w:rsidR="00A20C0F" w:rsidRPr="00CC673B">
        <w:rPr>
          <w:rFonts w:ascii="Verdana" w:hAnsi="Verdana"/>
          <w:sz w:val="22"/>
          <w:szCs w:val="22"/>
        </w:rPr>
        <w:t>pr</w:t>
      </w:r>
      <w:r w:rsidRPr="00CC673B">
        <w:rPr>
          <w:rFonts w:ascii="Verdana" w:hAnsi="Verdana"/>
          <w:sz w:val="22"/>
          <w:szCs w:val="22"/>
        </w:rPr>
        <w:t>od</w:t>
      </w:r>
      <w:r w:rsidR="00A20C0F" w:rsidRPr="00CC673B">
        <w:rPr>
          <w:rFonts w:ascii="Verdana" w:hAnsi="Verdana"/>
          <w:sz w:val="22"/>
          <w:szCs w:val="22"/>
        </w:rPr>
        <w:t xml:space="preserve">ucción </w:t>
      </w:r>
      <w:r w:rsidRPr="00CC673B">
        <w:rPr>
          <w:rFonts w:ascii="Verdana" w:hAnsi="Verdana"/>
          <w:sz w:val="22"/>
          <w:szCs w:val="22"/>
        </w:rPr>
        <w:t xml:space="preserve">y </w:t>
      </w:r>
      <w:r w:rsidR="00A20C0F" w:rsidRPr="00CC673B">
        <w:rPr>
          <w:rFonts w:ascii="Verdana" w:hAnsi="Verdana"/>
          <w:sz w:val="22"/>
          <w:szCs w:val="22"/>
        </w:rPr>
        <w:t xml:space="preserve">suministro de energía eléctrica, ya que </w:t>
      </w:r>
      <w:r w:rsidR="00A20C0F" w:rsidRPr="00CC673B">
        <w:rPr>
          <w:rFonts w:ascii="Verdana" w:hAnsi="Verdana"/>
          <w:sz w:val="22"/>
          <w:szCs w:val="22"/>
          <w:shd w:val="clear" w:color="auto" w:fill="FFFFFF"/>
        </w:rPr>
        <w:t>el «</w:t>
      </w:r>
      <w:r w:rsidR="00A20C0F" w:rsidRPr="00CC673B">
        <w:rPr>
          <w:rStyle w:val="Textoennegrita"/>
          <w:rFonts w:ascii="Verdana" w:hAnsi="Verdana"/>
          <w:b w:val="0"/>
          <w:bCs w:val="0"/>
          <w:i/>
          <w:iCs/>
          <w:sz w:val="22"/>
          <w:szCs w:val="22"/>
          <w:shd w:val="clear" w:color="auto" w:fill="FFFFFF"/>
        </w:rPr>
        <w:t>suministro de energía eléctrica constituye un servicio de interés económico general»</w:t>
      </w:r>
      <w:r w:rsidR="00A20C0F" w:rsidRPr="00CC673B">
        <w:rPr>
          <w:rFonts w:ascii="Verdana" w:hAnsi="Verdana"/>
          <w:sz w:val="22"/>
          <w:szCs w:val="22"/>
          <w:shd w:val="clear" w:color="auto" w:fill="FFFFFF"/>
        </w:rPr>
        <w:t xml:space="preserve"> tal como proclama el artículo 2.2 de</w:t>
      </w:r>
      <w:r w:rsidR="00A221D0" w:rsidRPr="00CC673B">
        <w:rPr>
          <w:rFonts w:ascii="Verdana" w:hAnsi="Verdana"/>
          <w:sz w:val="22"/>
          <w:szCs w:val="22"/>
          <w:shd w:val="clear" w:color="auto" w:fill="FFFFFF"/>
        </w:rPr>
        <w:t xml:space="preserve"> la Ley 24/2013, de 26 de diciembre, del Sector Eléctrico. </w:t>
      </w:r>
    </w:p>
    <w:p w14:paraId="7140E20D" w14:textId="77777777" w:rsidR="00BD3F86" w:rsidRPr="00CC673B" w:rsidRDefault="00BD3F86" w:rsidP="00CF3CD5">
      <w:pPr>
        <w:spacing w:line="283" w:lineRule="exact"/>
        <w:ind w:firstLine="708"/>
        <w:rPr>
          <w:rFonts w:ascii="Verdana" w:hAnsi="Verdana" w:cs="Courier New"/>
          <w:i/>
          <w:lang w:eastAsia="es-ES"/>
        </w:rPr>
      </w:pPr>
      <w:r w:rsidRPr="00CC673B">
        <w:rPr>
          <w:rFonts w:ascii="Verdana" w:hAnsi="Verdana" w:cs="Courier New"/>
        </w:rPr>
        <w:t>Est</w:t>
      </w:r>
      <w:r w:rsidR="00CF3CD5" w:rsidRPr="00CC673B">
        <w:rPr>
          <w:rFonts w:ascii="Verdana" w:hAnsi="Verdana" w:cs="Courier New"/>
        </w:rPr>
        <w:t>os</w:t>
      </w:r>
      <w:r w:rsidRPr="00CC673B">
        <w:rPr>
          <w:rFonts w:ascii="Verdana" w:eastAsia="Arial" w:hAnsi="Verdana" w:cs="Courier New"/>
        </w:rPr>
        <w:t xml:space="preserve"> </w:t>
      </w:r>
      <w:r w:rsidRPr="00CC673B">
        <w:rPr>
          <w:rFonts w:ascii="Verdana" w:hAnsi="Verdana" w:cs="Courier New"/>
        </w:rPr>
        <w:t>arrendamiento</w:t>
      </w:r>
      <w:r w:rsidR="00CF3CD5" w:rsidRPr="00CC673B">
        <w:rPr>
          <w:rFonts w:ascii="Verdana" w:hAnsi="Verdana" w:cs="Courier New"/>
        </w:rPr>
        <w:t>s</w:t>
      </w:r>
      <w:r w:rsidRPr="00CC673B">
        <w:rPr>
          <w:rFonts w:ascii="Verdana" w:eastAsia="Arial" w:hAnsi="Verdana" w:cs="Courier New"/>
        </w:rPr>
        <w:t xml:space="preserve"> </w:t>
      </w:r>
      <w:r w:rsidR="0059023A" w:rsidRPr="00CC673B">
        <w:rPr>
          <w:rFonts w:ascii="Verdana" w:eastAsia="Arial" w:hAnsi="Verdana" w:cs="Courier New"/>
        </w:rPr>
        <w:t xml:space="preserve">de bienes </w:t>
      </w:r>
      <w:r w:rsidR="0059023A" w:rsidRPr="00CC673B">
        <w:rPr>
          <w:rFonts w:ascii="Verdana" w:hAnsi="Verdana" w:cs="Courier New"/>
        </w:rPr>
        <w:t>que</w:t>
      </w:r>
      <w:r w:rsidR="0059023A" w:rsidRPr="00CC673B">
        <w:rPr>
          <w:rFonts w:ascii="Verdana" w:eastAsia="Arial" w:hAnsi="Verdana" w:cs="Courier New"/>
        </w:rPr>
        <w:t xml:space="preserve"> </w:t>
      </w:r>
      <w:r w:rsidR="0059023A" w:rsidRPr="00CC673B">
        <w:rPr>
          <w:rFonts w:ascii="Verdana" w:hAnsi="Verdana" w:cs="Courier New"/>
        </w:rPr>
        <w:t>tengan</w:t>
      </w:r>
      <w:r w:rsidR="0059023A" w:rsidRPr="00CC673B">
        <w:rPr>
          <w:rFonts w:ascii="Verdana" w:eastAsia="Arial" w:hAnsi="Verdana" w:cs="Courier New"/>
        </w:rPr>
        <w:t xml:space="preserve"> </w:t>
      </w:r>
      <w:r w:rsidR="0059023A" w:rsidRPr="00CC673B">
        <w:rPr>
          <w:rFonts w:ascii="Verdana" w:hAnsi="Verdana" w:cs="Courier New"/>
        </w:rPr>
        <w:t>la</w:t>
      </w:r>
      <w:r w:rsidR="0059023A" w:rsidRPr="00CC673B">
        <w:rPr>
          <w:rFonts w:ascii="Verdana" w:eastAsia="Arial" w:hAnsi="Verdana" w:cs="Courier New"/>
        </w:rPr>
        <w:t xml:space="preserve"> </w:t>
      </w:r>
      <w:r w:rsidR="0059023A" w:rsidRPr="00CC673B">
        <w:rPr>
          <w:rFonts w:ascii="Verdana" w:hAnsi="Verdana" w:cs="Courier New"/>
        </w:rPr>
        <w:t>consideración</w:t>
      </w:r>
      <w:r w:rsidR="0059023A" w:rsidRPr="00CC673B">
        <w:rPr>
          <w:rFonts w:ascii="Verdana" w:eastAsia="Arial" w:hAnsi="Verdana" w:cs="Courier New"/>
        </w:rPr>
        <w:t xml:space="preserve"> </w:t>
      </w:r>
      <w:r w:rsidR="0059023A" w:rsidRPr="00CC673B">
        <w:rPr>
          <w:rFonts w:ascii="Verdana" w:hAnsi="Verdana" w:cs="Courier New"/>
        </w:rPr>
        <w:t>de</w:t>
      </w:r>
      <w:r w:rsidR="0059023A" w:rsidRPr="00CC673B">
        <w:rPr>
          <w:rFonts w:ascii="Verdana" w:eastAsia="Arial" w:hAnsi="Verdana" w:cs="Courier New"/>
        </w:rPr>
        <w:t xml:space="preserve"> </w:t>
      </w:r>
      <w:r w:rsidR="0059023A" w:rsidRPr="00CC673B">
        <w:rPr>
          <w:rFonts w:ascii="Verdana" w:hAnsi="Verdana" w:cs="Courier New"/>
        </w:rPr>
        <w:t xml:space="preserve">servicios </w:t>
      </w:r>
      <w:r w:rsidR="00A5653A">
        <w:rPr>
          <w:rFonts w:ascii="Verdana" w:hAnsi="Verdana" w:cs="Courier New"/>
        </w:rPr>
        <w:t xml:space="preserve">-arrendamientos de bienes sin opción de compra- </w:t>
      </w:r>
      <w:r w:rsidR="0059023A" w:rsidRPr="00CC673B">
        <w:rPr>
          <w:rFonts w:ascii="Verdana" w:hAnsi="Verdana" w:cs="Courier New"/>
        </w:rPr>
        <w:t>a</w:t>
      </w:r>
      <w:r w:rsidR="0059023A" w:rsidRPr="00CC673B">
        <w:rPr>
          <w:rFonts w:ascii="Verdana" w:eastAsia="Arial" w:hAnsi="Verdana" w:cs="Courier New"/>
        </w:rPr>
        <w:t xml:space="preserve"> </w:t>
      </w:r>
      <w:r w:rsidR="0059023A" w:rsidRPr="00CC673B">
        <w:rPr>
          <w:rFonts w:ascii="Verdana" w:hAnsi="Verdana" w:cs="Courier New"/>
        </w:rPr>
        <w:t>los</w:t>
      </w:r>
      <w:r w:rsidR="0059023A" w:rsidRPr="00CC673B">
        <w:rPr>
          <w:rFonts w:ascii="Verdana" w:eastAsia="Arial" w:hAnsi="Verdana" w:cs="Courier New"/>
        </w:rPr>
        <w:t xml:space="preserve"> </w:t>
      </w:r>
      <w:r w:rsidR="0059023A" w:rsidRPr="00CC673B">
        <w:rPr>
          <w:rFonts w:ascii="Verdana" w:hAnsi="Verdana" w:cs="Courier New"/>
        </w:rPr>
        <w:t>efectos</w:t>
      </w:r>
      <w:r w:rsidR="0059023A" w:rsidRPr="00CC673B">
        <w:rPr>
          <w:rFonts w:ascii="Verdana" w:eastAsia="Arial" w:hAnsi="Verdana" w:cs="Courier New"/>
        </w:rPr>
        <w:t xml:space="preserve"> </w:t>
      </w:r>
      <w:r w:rsidR="0059023A" w:rsidRPr="00CC673B">
        <w:rPr>
          <w:rFonts w:ascii="Verdana" w:hAnsi="Verdana" w:cs="Courier New"/>
        </w:rPr>
        <w:t>de</w:t>
      </w:r>
      <w:r w:rsidR="0059023A" w:rsidRPr="00CC673B">
        <w:rPr>
          <w:rFonts w:ascii="Verdana" w:eastAsia="Arial" w:hAnsi="Verdana" w:cs="Courier New"/>
        </w:rPr>
        <w:t xml:space="preserve"> </w:t>
      </w:r>
      <w:r w:rsidR="0059023A" w:rsidRPr="00CC673B">
        <w:rPr>
          <w:rFonts w:ascii="Verdana" w:hAnsi="Verdana" w:cs="Courier New"/>
        </w:rPr>
        <w:t>este</w:t>
      </w:r>
      <w:r w:rsidR="0059023A" w:rsidRPr="00CC673B">
        <w:rPr>
          <w:rFonts w:ascii="Verdana" w:eastAsia="Arial" w:hAnsi="Verdana" w:cs="Courier New"/>
        </w:rPr>
        <w:t xml:space="preserve"> </w:t>
      </w:r>
      <w:r w:rsidR="0059023A" w:rsidRPr="00CC673B">
        <w:rPr>
          <w:rFonts w:ascii="Verdana" w:hAnsi="Verdana" w:cs="Courier New"/>
        </w:rPr>
        <w:t xml:space="preserve">impuesto </w:t>
      </w:r>
      <w:r w:rsidRPr="00CC673B">
        <w:rPr>
          <w:rFonts w:ascii="Verdana" w:hAnsi="Verdana" w:cs="Courier New"/>
        </w:rPr>
        <w:t>est</w:t>
      </w:r>
      <w:r w:rsidR="00CF3CD5" w:rsidRPr="00CC673B">
        <w:rPr>
          <w:rFonts w:ascii="Verdana" w:hAnsi="Verdana" w:cs="Courier New"/>
        </w:rPr>
        <w:t>arían</w:t>
      </w:r>
      <w:r w:rsidRPr="00CC673B">
        <w:rPr>
          <w:rFonts w:ascii="Verdana" w:eastAsia="Arial" w:hAnsi="Verdana" w:cs="Courier New"/>
        </w:rPr>
        <w:t xml:space="preserve"> </w:t>
      </w:r>
      <w:r w:rsidRPr="00CC673B">
        <w:rPr>
          <w:rFonts w:ascii="Verdana" w:hAnsi="Verdana" w:cs="Courier New"/>
        </w:rPr>
        <w:t>exento</w:t>
      </w:r>
      <w:r w:rsidR="00CF3CD5" w:rsidRPr="00CC673B">
        <w:rPr>
          <w:rFonts w:ascii="Verdana" w:hAnsi="Verdana" w:cs="Courier New"/>
        </w:rPr>
        <w:t>s</w:t>
      </w:r>
      <w:r w:rsidRPr="00CC673B">
        <w:rPr>
          <w:rFonts w:ascii="Verdana" w:eastAsia="Arial" w:hAnsi="Verdana" w:cs="Courier New"/>
        </w:rPr>
        <w:t xml:space="preserve"> </w:t>
      </w:r>
      <w:r w:rsidRPr="00CC673B">
        <w:rPr>
          <w:rFonts w:ascii="Verdana" w:hAnsi="Verdana" w:cs="Courier New"/>
        </w:rPr>
        <w:t>de</w:t>
      </w:r>
      <w:r w:rsidRPr="00CC673B">
        <w:rPr>
          <w:rFonts w:ascii="Verdana" w:eastAsia="Arial" w:hAnsi="Verdana" w:cs="Courier New"/>
        </w:rPr>
        <w:t xml:space="preserve"> </w:t>
      </w:r>
      <w:r w:rsidRPr="00CC673B">
        <w:rPr>
          <w:rFonts w:ascii="Verdana" w:hAnsi="Verdana" w:cs="Courier New"/>
        </w:rPr>
        <w:t>IVA</w:t>
      </w:r>
      <w:r w:rsidRPr="00CC673B">
        <w:rPr>
          <w:rFonts w:ascii="Verdana" w:eastAsia="Arial" w:hAnsi="Verdana" w:cs="Courier New"/>
        </w:rPr>
        <w:t xml:space="preserve"> </w:t>
      </w:r>
      <w:r w:rsidRPr="00CC673B">
        <w:rPr>
          <w:rFonts w:ascii="Verdana" w:hAnsi="Verdana" w:cs="Courier New"/>
        </w:rPr>
        <w:t>por</w:t>
      </w:r>
      <w:r w:rsidRPr="00CC673B">
        <w:rPr>
          <w:rFonts w:ascii="Verdana" w:eastAsia="Arial" w:hAnsi="Verdana" w:cs="Courier New"/>
        </w:rPr>
        <w:t xml:space="preserve"> </w:t>
      </w:r>
      <w:r w:rsidRPr="00CC673B">
        <w:rPr>
          <w:rFonts w:ascii="Verdana" w:hAnsi="Verdana" w:cs="Courier New"/>
        </w:rPr>
        <w:t>aplicación</w:t>
      </w:r>
      <w:r w:rsidRPr="00CC673B">
        <w:rPr>
          <w:rFonts w:ascii="Verdana" w:eastAsia="Arial" w:hAnsi="Verdana" w:cs="Courier New"/>
        </w:rPr>
        <w:t xml:space="preserve"> </w:t>
      </w:r>
      <w:r w:rsidRPr="00CC673B">
        <w:rPr>
          <w:rFonts w:ascii="Verdana" w:hAnsi="Verdana" w:cs="Courier New"/>
        </w:rPr>
        <w:t>del</w:t>
      </w:r>
      <w:r w:rsidRPr="00CC673B">
        <w:rPr>
          <w:rFonts w:ascii="Verdana" w:eastAsia="Arial" w:hAnsi="Verdana" w:cs="Courier New"/>
        </w:rPr>
        <w:t xml:space="preserve"> </w:t>
      </w:r>
      <w:r w:rsidRPr="00CC673B">
        <w:rPr>
          <w:rFonts w:ascii="Verdana" w:hAnsi="Verdana" w:cs="Courier New"/>
        </w:rPr>
        <w:t>artículo</w:t>
      </w:r>
      <w:r w:rsidRPr="00CC673B">
        <w:rPr>
          <w:rFonts w:ascii="Verdana" w:eastAsia="Arial" w:hAnsi="Verdana" w:cs="Courier New"/>
        </w:rPr>
        <w:t xml:space="preserve"> </w:t>
      </w:r>
      <w:r w:rsidRPr="00CC673B">
        <w:rPr>
          <w:rFonts w:ascii="Verdana" w:hAnsi="Verdana" w:cs="Courier New"/>
        </w:rPr>
        <w:t>20,</w:t>
      </w:r>
      <w:r w:rsidRPr="00CC673B">
        <w:rPr>
          <w:rFonts w:ascii="Verdana" w:eastAsia="Arial" w:hAnsi="Verdana" w:cs="Courier New"/>
        </w:rPr>
        <w:t xml:space="preserve"> </w:t>
      </w:r>
      <w:r w:rsidRPr="00CC673B">
        <w:rPr>
          <w:rFonts w:ascii="Verdana" w:hAnsi="Verdana" w:cs="Courier New"/>
        </w:rPr>
        <w:t>apartado</w:t>
      </w:r>
      <w:r w:rsidRPr="00CC673B">
        <w:rPr>
          <w:rFonts w:ascii="Verdana" w:eastAsia="Arial" w:hAnsi="Verdana" w:cs="Courier New"/>
        </w:rPr>
        <w:t xml:space="preserve"> </w:t>
      </w:r>
      <w:r w:rsidRPr="00CC673B">
        <w:rPr>
          <w:rFonts w:ascii="Verdana" w:hAnsi="Verdana" w:cs="Courier New"/>
        </w:rPr>
        <w:t>número</w:t>
      </w:r>
      <w:r w:rsidRPr="00CC673B">
        <w:rPr>
          <w:rFonts w:ascii="Verdana" w:eastAsia="Arial" w:hAnsi="Verdana" w:cs="Courier New"/>
        </w:rPr>
        <w:t xml:space="preserve"> </w:t>
      </w:r>
      <w:r w:rsidRPr="00CC673B">
        <w:rPr>
          <w:rFonts w:ascii="Verdana" w:hAnsi="Verdana" w:cs="Courier New"/>
        </w:rPr>
        <w:t>23</w:t>
      </w:r>
      <w:r w:rsidRPr="00CC673B">
        <w:rPr>
          <w:rFonts w:ascii="Verdana" w:eastAsia="Arial" w:hAnsi="Verdana" w:cs="Courier New"/>
        </w:rPr>
        <w:t xml:space="preserve"> </w:t>
      </w:r>
      <w:r w:rsidRPr="00CC673B">
        <w:rPr>
          <w:rFonts w:ascii="Verdana" w:hAnsi="Verdana" w:cs="Courier New"/>
        </w:rPr>
        <w:t>de</w:t>
      </w:r>
      <w:r w:rsidRPr="00CC673B">
        <w:rPr>
          <w:rFonts w:ascii="Verdana" w:eastAsia="Arial" w:hAnsi="Verdana" w:cs="Courier New"/>
        </w:rPr>
        <w:t xml:space="preserve"> </w:t>
      </w:r>
      <w:r w:rsidRPr="00CC673B">
        <w:rPr>
          <w:rFonts w:ascii="Verdana" w:hAnsi="Verdana" w:cs="Courier New"/>
        </w:rPr>
        <w:t>la</w:t>
      </w:r>
      <w:r w:rsidRPr="00CC673B">
        <w:rPr>
          <w:rFonts w:ascii="Verdana" w:eastAsia="Arial" w:hAnsi="Verdana" w:cs="Courier New"/>
        </w:rPr>
        <w:t xml:space="preserve"> </w:t>
      </w:r>
      <w:r w:rsidRPr="00CC673B">
        <w:rPr>
          <w:rFonts w:ascii="Verdana" w:hAnsi="Verdana" w:cs="Courier New"/>
        </w:rPr>
        <w:t>Ley</w:t>
      </w:r>
      <w:r w:rsidRPr="00CC673B">
        <w:rPr>
          <w:rFonts w:ascii="Verdana" w:eastAsia="Arial" w:hAnsi="Verdana" w:cs="Courier New"/>
        </w:rPr>
        <w:t xml:space="preserve"> </w:t>
      </w:r>
      <w:r w:rsidRPr="00CC673B">
        <w:rPr>
          <w:rFonts w:ascii="Verdana" w:hAnsi="Verdana" w:cs="Courier New"/>
        </w:rPr>
        <w:t>37/1992</w:t>
      </w:r>
      <w:r w:rsidRPr="00CC673B">
        <w:rPr>
          <w:rFonts w:ascii="Verdana" w:eastAsia="Arial" w:hAnsi="Verdana" w:cs="Courier New"/>
        </w:rPr>
        <w:t xml:space="preserve"> </w:t>
      </w:r>
      <w:r w:rsidRPr="00CC673B">
        <w:rPr>
          <w:rFonts w:ascii="Verdana" w:hAnsi="Verdana" w:cs="Courier New"/>
        </w:rPr>
        <w:t>de</w:t>
      </w:r>
      <w:r w:rsidRPr="00CC673B">
        <w:rPr>
          <w:rFonts w:ascii="Verdana" w:eastAsia="Arial" w:hAnsi="Verdana" w:cs="Courier New"/>
        </w:rPr>
        <w:t xml:space="preserve"> </w:t>
      </w:r>
      <w:r w:rsidRPr="00CC673B">
        <w:rPr>
          <w:rFonts w:ascii="Verdana" w:hAnsi="Verdana" w:cs="Courier New"/>
        </w:rPr>
        <w:t>28</w:t>
      </w:r>
      <w:r w:rsidRPr="00CC673B">
        <w:rPr>
          <w:rFonts w:ascii="Verdana" w:eastAsia="Arial" w:hAnsi="Verdana" w:cs="Courier New"/>
        </w:rPr>
        <w:t xml:space="preserve"> </w:t>
      </w:r>
      <w:r w:rsidRPr="00CC673B">
        <w:rPr>
          <w:rFonts w:ascii="Verdana" w:hAnsi="Verdana" w:cs="Courier New"/>
        </w:rPr>
        <w:t>de</w:t>
      </w:r>
      <w:r w:rsidRPr="00CC673B">
        <w:rPr>
          <w:rFonts w:ascii="Verdana" w:eastAsia="Arial" w:hAnsi="Verdana" w:cs="Courier New"/>
        </w:rPr>
        <w:t xml:space="preserve"> </w:t>
      </w:r>
      <w:r w:rsidRPr="00CC673B">
        <w:rPr>
          <w:rFonts w:ascii="Verdana" w:hAnsi="Verdana" w:cs="Courier New"/>
        </w:rPr>
        <w:t>diciembre</w:t>
      </w:r>
      <w:r w:rsidRPr="00CC673B">
        <w:rPr>
          <w:rFonts w:ascii="Verdana" w:eastAsia="Arial" w:hAnsi="Verdana" w:cs="Courier New"/>
        </w:rPr>
        <w:t xml:space="preserve"> </w:t>
      </w:r>
      <w:r w:rsidRPr="00CC673B">
        <w:rPr>
          <w:rFonts w:ascii="Verdana" w:hAnsi="Verdana" w:cs="Courier New"/>
        </w:rPr>
        <w:t>del</w:t>
      </w:r>
      <w:r w:rsidRPr="00CC673B">
        <w:rPr>
          <w:rFonts w:ascii="Verdana" w:eastAsia="Arial" w:hAnsi="Verdana" w:cs="Courier New"/>
        </w:rPr>
        <w:t xml:space="preserve"> </w:t>
      </w:r>
      <w:r w:rsidRPr="00CC673B">
        <w:rPr>
          <w:rFonts w:ascii="Verdana" w:hAnsi="Verdana" w:cs="Courier New"/>
        </w:rPr>
        <w:t>Impuesto</w:t>
      </w:r>
      <w:r w:rsidRPr="00CC673B">
        <w:rPr>
          <w:rFonts w:ascii="Verdana" w:eastAsia="Arial" w:hAnsi="Verdana" w:cs="Courier New"/>
        </w:rPr>
        <w:t xml:space="preserve"> </w:t>
      </w:r>
      <w:r w:rsidRPr="00CC673B">
        <w:rPr>
          <w:rFonts w:ascii="Verdana" w:hAnsi="Verdana" w:cs="Courier New"/>
        </w:rPr>
        <w:t>sobre</w:t>
      </w:r>
      <w:r w:rsidRPr="00CC673B">
        <w:rPr>
          <w:rFonts w:ascii="Verdana" w:eastAsia="Arial" w:hAnsi="Verdana" w:cs="Courier New"/>
        </w:rPr>
        <w:t xml:space="preserve"> </w:t>
      </w:r>
      <w:r w:rsidRPr="00CC673B">
        <w:rPr>
          <w:rFonts w:ascii="Verdana" w:hAnsi="Verdana" w:cs="Courier New"/>
        </w:rPr>
        <w:t>el</w:t>
      </w:r>
      <w:r w:rsidRPr="00CC673B">
        <w:rPr>
          <w:rFonts w:ascii="Verdana" w:eastAsia="Arial" w:hAnsi="Verdana" w:cs="Courier New"/>
        </w:rPr>
        <w:t xml:space="preserve"> </w:t>
      </w:r>
      <w:r w:rsidRPr="00CC673B">
        <w:rPr>
          <w:rFonts w:ascii="Verdana" w:hAnsi="Verdana" w:cs="Courier New"/>
        </w:rPr>
        <w:t>valor</w:t>
      </w:r>
      <w:r w:rsidRPr="00CC673B">
        <w:rPr>
          <w:rFonts w:ascii="Verdana" w:eastAsia="Arial" w:hAnsi="Verdana" w:cs="Courier New"/>
        </w:rPr>
        <w:t xml:space="preserve"> </w:t>
      </w:r>
      <w:r w:rsidRPr="00CC673B">
        <w:rPr>
          <w:rFonts w:ascii="Verdana" w:hAnsi="Verdana" w:cs="Courier New"/>
        </w:rPr>
        <w:t>añadido</w:t>
      </w:r>
      <w:r w:rsidRPr="00CC673B">
        <w:rPr>
          <w:rFonts w:ascii="Verdana" w:hAnsi="Verdana" w:cs="Courier New"/>
          <w:i/>
        </w:rPr>
        <w:t>.</w:t>
      </w:r>
    </w:p>
    <w:p w14:paraId="612D0D5F" w14:textId="77777777" w:rsidR="0085364D" w:rsidRPr="00CC673B" w:rsidRDefault="0059023A" w:rsidP="0059023A">
      <w:pPr>
        <w:pStyle w:val="NormalWeb"/>
        <w:shd w:val="clear" w:color="auto" w:fill="FFFFFF"/>
        <w:ind w:firstLine="708"/>
        <w:jc w:val="both"/>
        <w:rPr>
          <w:rFonts w:ascii="Verdana" w:hAnsi="Verdana"/>
          <w:i/>
          <w:iCs/>
          <w:sz w:val="22"/>
          <w:szCs w:val="22"/>
        </w:rPr>
      </w:pPr>
      <w:r w:rsidRPr="00CC673B">
        <w:rPr>
          <w:rFonts w:ascii="Verdana" w:hAnsi="Verdana"/>
          <w:b/>
          <w:bCs/>
          <w:sz w:val="22"/>
          <w:szCs w:val="22"/>
        </w:rPr>
        <w:t>B</w:t>
      </w:r>
      <w:r w:rsidRPr="00CC673B">
        <w:rPr>
          <w:rFonts w:ascii="Verdana" w:hAnsi="Verdana"/>
          <w:sz w:val="22"/>
          <w:szCs w:val="22"/>
        </w:rPr>
        <w:t xml:space="preserve"> </w:t>
      </w:r>
      <w:r w:rsidR="008461BF" w:rsidRPr="00CC673B">
        <w:rPr>
          <w:rFonts w:ascii="Verdana" w:hAnsi="Verdana"/>
          <w:sz w:val="22"/>
          <w:szCs w:val="22"/>
        </w:rPr>
        <w:t>-</w:t>
      </w:r>
      <w:r w:rsidR="0085364D" w:rsidRPr="00CC673B">
        <w:rPr>
          <w:rFonts w:ascii="Verdana" w:hAnsi="Verdana"/>
          <w:b/>
          <w:bCs/>
          <w:sz w:val="22"/>
          <w:szCs w:val="22"/>
        </w:rPr>
        <w:t xml:space="preserve"> </w:t>
      </w:r>
      <w:r w:rsidR="008461BF" w:rsidRPr="00CC673B">
        <w:rPr>
          <w:rFonts w:ascii="Verdana" w:hAnsi="Verdana"/>
          <w:sz w:val="22"/>
          <w:szCs w:val="22"/>
        </w:rPr>
        <w:t>L</w:t>
      </w:r>
      <w:r w:rsidR="0085364D" w:rsidRPr="00CC673B">
        <w:rPr>
          <w:rFonts w:ascii="Verdana" w:hAnsi="Verdana"/>
          <w:sz w:val="22"/>
          <w:szCs w:val="22"/>
        </w:rPr>
        <w:t xml:space="preserve">a </w:t>
      </w:r>
      <w:r w:rsidR="0085364D" w:rsidRPr="00CC673B">
        <w:rPr>
          <w:rFonts w:ascii="Verdana" w:hAnsi="Verdana"/>
          <w:b/>
          <w:bCs/>
          <w:sz w:val="22"/>
          <w:szCs w:val="22"/>
        </w:rPr>
        <w:t>constitución y transmisión de derechos reales</w:t>
      </w:r>
      <w:r w:rsidR="0085364D" w:rsidRPr="00CC673B">
        <w:rPr>
          <w:rFonts w:ascii="Verdana" w:hAnsi="Verdana"/>
          <w:sz w:val="22"/>
          <w:szCs w:val="22"/>
        </w:rPr>
        <w:t xml:space="preserve"> de goce y disfrute, cuando tengan por objeto los siguientes bienes:</w:t>
      </w:r>
      <w:r w:rsidR="008461BF" w:rsidRPr="00CC673B">
        <w:rPr>
          <w:rFonts w:ascii="Verdana" w:hAnsi="Verdana"/>
          <w:sz w:val="22"/>
          <w:szCs w:val="22"/>
        </w:rPr>
        <w:t xml:space="preserve"> (…)</w:t>
      </w:r>
      <w:r w:rsidR="0085364D" w:rsidRPr="00CC673B">
        <w:rPr>
          <w:rStyle w:val="nfasis"/>
          <w:rFonts w:ascii="Verdana" w:hAnsi="Verdana"/>
          <w:sz w:val="22"/>
          <w:szCs w:val="22"/>
        </w:rPr>
        <w:t> Terrenos</w:t>
      </w:r>
      <w:r w:rsidR="008461BF" w:rsidRPr="00CC673B">
        <w:rPr>
          <w:rStyle w:val="nfasis"/>
          <w:rFonts w:ascii="Verdana" w:hAnsi="Verdana"/>
          <w:sz w:val="22"/>
          <w:szCs w:val="22"/>
        </w:rPr>
        <w:t xml:space="preserve">. </w:t>
      </w:r>
      <w:r w:rsidR="0085364D" w:rsidRPr="00CC673B">
        <w:rPr>
          <w:rStyle w:val="nfasis"/>
          <w:rFonts w:ascii="Verdana" w:hAnsi="Verdana"/>
          <w:sz w:val="22"/>
          <w:szCs w:val="22"/>
        </w:rPr>
        <w:t>La exención no comprenderá:</w:t>
      </w:r>
      <w:r w:rsidR="008461BF" w:rsidRPr="00CC673B">
        <w:rPr>
          <w:rStyle w:val="nfasis"/>
          <w:rFonts w:ascii="Verdana" w:hAnsi="Verdana"/>
          <w:sz w:val="22"/>
          <w:szCs w:val="22"/>
        </w:rPr>
        <w:t xml:space="preserve"> (…) </w:t>
      </w:r>
      <w:r w:rsidR="0085364D" w:rsidRPr="00CC673B">
        <w:rPr>
          <w:rStyle w:val="nfasis"/>
          <w:rFonts w:ascii="Verdana" w:hAnsi="Verdana"/>
          <w:sz w:val="22"/>
          <w:szCs w:val="22"/>
        </w:rPr>
        <w:t xml:space="preserve">b') Los arrendamientos de terrenos </w:t>
      </w:r>
      <w:r w:rsidR="008461BF" w:rsidRPr="00CC673B">
        <w:rPr>
          <w:rStyle w:val="nfasis"/>
          <w:rFonts w:ascii="Verdana" w:hAnsi="Verdana"/>
          <w:sz w:val="22"/>
          <w:szCs w:val="22"/>
        </w:rPr>
        <w:t>(…)</w:t>
      </w:r>
      <w:r w:rsidR="0085364D" w:rsidRPr="00CC673B">
        <w:rPr>
          <w:rStyle w:val="nfasis"/>
          <w:rFonts w:ascii="Verdana" w:hAnsi="Verdana"/>
          <w:sz w:val="22"/>
          <w:szCs w:val="22"/>
        </w:rPr>
        <w:t xml:space="preserve"> para instalar en ellos elementos de una actividad empresarial.</w:t>
      </w:r>
    </w:p>
    <w:p w14:paraId="1866F112" w14:textId="77777777" w:rsidR="00CF537A" w:rsidRPr="00CC673B" w:rsidRDefault="005D6228" w:rsidP="005D6228">
      <w:pPr>
        <w:pStyle w:val="NormalWeb"/>
        <w:shd w:val="clear" w:color="auto" w:fill="FFFFFF"/>
        <w:ind w:firstLine="708"/>
        <w:jc w:val="both"/>
        <w:rPr>
          <w:rFonts w:ascii="Verdana" w:hAnsi="Verdana"/>
          <w:sz w:val="22"/>
          <w:szCs w:val="22"/>
        </w:rPr>
      </w:pPr>
      <w:r>
        <w:rPr>
          <w:rFonts w:ascii="Verdana" w:hAnsi="Verdana"/>
          <w:sz w:val="22"/>
          <w:szCs w:val="22"/>
        </w:rPr>
        <w:t xml:space="preserve">En principio </w:t>
      </w:r>
      <w:r w:rsidR="00A22F5E" w:rsidRPr="00CC673B">
        <w:rPr>
          <w:rFonts w:ascii="Verdana" w:hAnsi="Verdana"/>
          <w:sz w:val="22"/>
          <w:szCs w:val="22"/>
        </w:rPr>
        <w:t>no concurr</w:t>
      </w:r>
      <w:r>
        <w:rPr>
          <w:rFonts w:ascii="Verdana" w:hAnsi="Verdana"/>
          <w:sz w:val="22"/>
          <w:szCs w:val="22"/>
        </w:rPr>
        <w:t>iría</w:t>
      </w:r>
      <w:r w:rsidR="00A22F5E" w:rsidRPr="00CC673B">
        <w:rPr>
          <w:rFonts w:ascii="Verdana" w:hAnsi="Verdana"/>
          <w:sz w:val="22"/>
          <w:szCs w:val="22"/>
        </w:rPr>
        <w:t xml:space="preserve"> la ex</w:t>
      </w:r>
      <w:r w:rsidR="00EF2BE0" w:rsidRPr="00CC673B">
        <w:rPr>
          <w:rFonts w:ascii="Verdana" w:hAnsi="Verdana"/>
          <w:sz w:val="22"/>
          <w:szCs w:val="22"/>
        </w:rPr>
        <w:t>ención</w:t>
      </w:r>
      <w:r w:rsidR="00A22F5E" w:rsidRPr="00CC673B">
        <w:rPr>
          <w:rFonts w:ascii="Verdana" w:hAnsi="Verdana"/>
          <w:sz w:val="22"/>
          <w:szCs w:val="22"/>
        </w:rPr>
        <w:t xml:space="preserve"> </w:t>
      </w:r>
      <w:r>
        <w:rPr>
          <w:rFonts w:ascii="Verdana" w:hAnsi="Verdana"/>
          <w:sz w:val="22"/>
          <w:szCs w:val="22"/>
        </w:rPr>
        <w:t>cuando estemos ante</w:t>
      </w:r>
      <w:r w:rsidR="00EF2BE0" w:rsidRPr="00CC673B">
        <w:rPr>
          <w:rStyle w:val="Textoennegrita"/>
          <w:rFonts w:ascii="Verdana" w:hAnsi="Verdana"/>
          <w:b w:val="0"/>
          <w:bCs w:val="0"/>
          <w:sz w:val="22"/>
          <w:szCs w:val="22"/>
        </w:rPr>
        <w:t xml:space="preserve"> </w:t>
      </w:r>
      <w:r w:rsidR="008461BF" w:rsidRPr="00CC673B">
        <w:rPr>
          <w:rStyle w:val="Textoennegrita"/>
          <w:rFonts w:ascii="Verdana" w:hAnsi="Verdana"/>
          <w:b w:val="0"/>
          <w:bCs w:val="0"/>
          <w:sz w:val="22"/>
          <w:szCs w:val="22"/>
        </w:rPr>
        <w:t xml:space="preserve">una actividad empresarial que se va a realizar sobre </w:t>
      </w:r>
      <w:r>
        <w:rPr>
          <w:rStyle w:val="Textoennegrita"/>
          <w:rFonts w:ascii="Verdana" w:hAnsi="Verdana"/>
          <w:b w:val="0"/>
          <w:bCs w:val="0"/>
          <w:sz w:val="22"/>
          <w:szCs w:val="22"/>
        </w:rPr>
        <w:t>t</w:t>
      </w:r>
      <w:r w:rsidR="00A22F5E" w:rsidRPr="00CC673B">
        <w:rPr>
          <w:rStyle w:val="Textoennegrita"/>
          <w:rFonts w:ascii="Verdana" w:hAnsi="Verdana"/>
          <w:b w:val="0"/>
          <w:bCs w:val="0"/>
          <w:sz w:val="22"/>
          <w:szCs w:val="22"/>
        </w:rPr>
        <w:t xml:space="preserve">errenos </w:t>
      </w:r>
      <w:r>
        <w:rPr>
          <w:rStyle w:val="Textoennegrita"/>
          <w:rFonts w:ascii="Verdana" w:hAnsi="Verdana"/>
          <w:b w:val="0"/>
          <w:bCs w:val="0"/>
          <w:sz w:val="22"/>
          <w:szCs w:val="22"/>
        </w:rPr>
        <w:t xml:space="preserve">de una Entidad Local que hayan sido </w:t>
      </w:r>
      <w:r w:rsidR="000E5451" w:rsidRPr="00CC673B">
        <w:rPr>
          <w:rStyle w:val="Textoennegrita"/>
          <w:rFonts w:ascii="Verdana" w:hAnsi="Verdana"/>
          <w:b w:val="0"/>
          <w:bCs w:val="0"/>
          <w:sz w:val="22"/>
          <w:szCs w:val="22"/>
        </w:rPr>
        <w:t>objeto de transmisión de</w:t>
      </w:r>
      <w:r>
        <w:rPr>
          <w:rStyle w:val="Textoennegrita"/>
          <w:rFonts w:ascii="Verdana" w:hAnsi="Verdana"/>
          <w:b w:val="0"/>
          <w:bCs w:val="0"/>
          <w:sz w:val="22"/>
          <w:szCs w:val="22"/>
        </w:rPr>
        <w:t>l</w:t>
      </w:r>
      <w:r w:rsidR="000E5451" w:rsidRPr="00CC673B">
        <w:rPr>
          <w:rStyle w:val="Textoennegrita"/>
          <w:rFonts w:ascii="Verdana" w:hAnsi="Verdana"/>
          <w:b w:val="0"/>
          <w:bCs w:val="0"/>
          <w:sz w:val="22"/>
          <w:szCs w:val="22"/>
        </w:rPr>
        <w:t xml:space="preserve"> derecho real de disfrute</w:t>
      </w:r>
      <w:r>
        <w:rPr>
          <w:rStyle w:val="Textoennegrita"/>
          <w:rFonts w:ascii="Verdana" w:hAnsi="Verdana"/>
          <w:b w:val="0"/>
          <w:bCs w:val="0"/>
          <w:sz w:val="22"/>
          <w:szCs w:val="22"/>
        </w:rPr>
        <w:t xml:space="preserve"> sobre los mismos. </w:t>
      </w:r>
    </w:p>
    <w:p w14:paraId="403B072C" w14:textId="77777777" w:rsidR="005D6228" w:rsidRDefault="005D6228" w:rsidP="00EF2BE0">
      <w:pPr>
        <w:pStyle w:val="d1"/>
        <w:shd w:val="clear" w:color="auto" w:fill="FFFFFF"/>
        <w:ind w:firstLine="708"/>
        <w:jc w:val="both"/>
        <w:rPr>
          <w:rStyle w:val="Textoennegrita"/>
          <w:rFonts w:ascii="Verdana" w:hAnsi="Verdana"/>
          <w:b w:val="0"/>
          <w:bCs w:val="0"/>
          <w:sz w:val="22"/>
          <w:szCs w:val="22"/>
        </w:rPr>
      </w:pPr>
      <w:r>
        <w:rPr>
          <w:rFonts w:ascii="Verdana" w:hAnsi="Verdana"/>
          <w:sz w:val="22"/>
          <w:szCs w:val="22"/>
        </w:rPr>
        <w:t>Contrariamente, si est</w:t>
      </w:r>
      <w:r w:rsidR="00A5653A">
        <w:rPr>
          <w:rFonts w:ascii="Verdana" w:hAnsi="Verdana"/>
          <w:sz w:val="22"/>
          <w:szCs w:val="22"/>
        </w:rPr>
        <w:t xml:space="preserve">uviéramos </w:t>
      </w:r>
      <w:r>
        <w:rPr>
          <w:rFonts w:ascii="Verdana" w:hAnsi="Verdana"/>
          <w:sz w:val="22"/>
          <w:szCs w:val="22"/>
        </w:rPr>
        <w:t>ante</w:t>
      </w:r>
      <w:r w:rsidRPr="00CC673B">
        <w:rPr>
          <w:rStyle w:val="Textoennegrita"/>
          <w:rFonts w:ascii="Verdana" w:hAnsi="Verdana"/>
          <w:b w:val="0"/>
          <w:bCs w:val="0"/>
          <w:sz w:val="22"/>
          <w:szCs w:val="22"/>
        </w:rPr>
        <w:t xml:space="preserve"> una actividad empresarial que se va a realizar sobre </w:t>
      </w:r>
      <w:r>
        <w:rPr>
          <w:rStyle w:val="Textoennegrita"/>
          <w:rFonts w:ascii="Verdana" w:hAnsi="Verdana"/>
          <w:b w:val="0"/>
          <w:bCs w:val="0"/>
          <w:sz w:val="22"/>
          <w:szCs w:val="22"/>
        </w:rPr>
        <w:t>t</w:t>
      </w:r>
      <w:r w:rsidRPr="00CC673B">
        <w:rPr>
          <w:rStyle w:val="Textoennegrita"/>
          <w:rFonts w:ascii="Verdana" w:hAnsi="Verdana"/>
          <w:b w:val="0"/>
          <w:bCs w:val="0"/>
          <w:sz w:val="22"/>
          <w:szCs w:val="22"/>
        </w:rPr>
        <w:t xml:space="preserve">errenos </w:t>
      </w:r>
      <w:r>
        <w:rPr>
          <w:rStyle w:val="Textoennegrita"/>
          <w:rFonts w:ascii="Verdana" w:hAnsi="Verdana"/>
          <w:b w:val="0"/>
          <w:bCs w:val="0"/>
          <w:sz w:val="22"/>
          <w:szCs w:val="22"/>
        </w:rPr>
        <w:t xml:space="preserve">de una Entidad Local que hayan sido </w:t>
      </w:r>
      <w:r w:rsidRPr="00CC673B">
        <w:rPr>
          <w:rStyle w:val="Textoennegrita"/>
          <w:rFonts w:ascii="Verdana" w:hAnsi="Verdana"/>
          <w:b w:val="0"/>
          <w:bCs w:val="0"/>
          <w:sz w:val="22"/>
          <w:szCs w:val="22"/>
        </w:rPr>
        <w:t xml:space="preserve">objeto de </w:t>
      </w:r>
      <w:r>
        <w:rPr>
          <w:rStyle w:val="Textoennegrita"/>
          <w:rFonts w:ascii="Verdana" w:hAnsi="Verdana"/>
          <w:b w:val="0"/>
          <w:bCs w:val="0"/>
          <w:sz w:val="22"/>
          <w:szCs w:val="22"/>
        </w:rPr>
        <w:t xml:space="preserve">una </w:t>
      </w:r>
      <w:r w:rsidRPr="00CC673B">
        <w:rPr>
          <w:rStyle w:val="Textoennegrita"/>
          <w:rFonts w:ascii="Verdana" w:hAnsi="Verdana"/>
          <w:b w:val="0"/>
          <w:bCs w:val="0"/>
          <w:sz w:val="22"/>
          <w:szCs w:val="22"/>
        </w:rPr>
        <w:t xml:space="preserve">transmisión </w:t>
      </w:r>
      <w:r w:rsidR="00D96A67">
        <w:rPr>
          <w:rStyle w:val="Textoennegrita"/>
          <w:rFonts w:ascii="Verdana" w:hAnsi="Verdana"/>
          <w:b w:val="0"/>
          <w:bCs w:val="0"/>
          <w:sz w:val="22"/>
          <w:szCs w:val="22"/>
        </w:rPr>
        <w:t>posesoria</w:t>
      </w:r>
      <w:r>
        <w:rPr>
          <w:rStyle w:val="Textoennegrita"/>
          <w:rFonts w:ascii="Verdana" w:hAnsi="Verdana"/>
          <w:b w:val="0"/>
          <w:bCs w:val="0"/>
          <w:sz w:val="22"/>
          <w:szCs w:val="22"/>
        </w:rPr>
        <w:t xml:space="preserve"> sin constituir tal transmisión un derecho real</w:t>
      </w:r>
      <w:r w:rsidR="00A5653A">
        <w:rPr>
          <w:rStyle w:val="Textoennegrita"/>
          <w:rFonts w:ascii="Verdana" w:hAnsi="Verdana"/>
          <w:b w:val="0"/>
          <w:bCs w:val="0"/>
          <w:sz w:val="22"/>
          <w:szCs w:val="22"/>
        </w:rPr>
        <w:t>,</w:t>
      </w:r>
      <w:r>
        <w:rPr>
          <w:rStyle w:val="Textoennegrita"/>
          <w:rFonts w:ascii="Verdana" w:hAnsi="Verdana"/>
          <w:b w:val="0"/>
          <w:bCs w:val="0"/>
          <w:sz w:val="22"/>
          <w:szCs w:val="22"/>
        </w:rPr>
        <w:t xml:space="preserve"> no habría sujeción al impuesto.</w:t>
      </w:r>
    </w:p>
    <w:p w14:paraId="338EEF56" w14:textId="77777777" w:rsidR="00CF537A" w:rsidRPr="00CC673B" w:rsidRDefault="005D6228" w:rsidP="00EF2BE0">
      <w:pPr>
        <w:pStyle w:val="d1"/>
        <w:shd w:val="clear" w:color="auto" w:fill="FFFFFF"/>
        <w:ind w:firstLine="708"/>
        <w:jc w:val="both"/>
        <w:rPr>
          <w:rFonts w:ascii="Verdana" w:hAnsi="Verdana"/>
          <w:sz w:val="22"/>
          <w:szCs w:val="22"/>
        </w:rPr>
      </w:pPr>
      <w:r>
        <w:rPr>
          <w:rStyle w:val="Textoennegrita"/>
          <w:rFonts w:ascii="Verdana" w:hAnsi="Verdana"/>
          <w:b w:val="0"/>
          <w:bCs w:val="0"/>
          <w:sz w:val="22"/>
          <w:szCs w:val="22"/>
        </w:rPr>
        <w:t xml:space="preserve">Lo anterior implica el que haya de realizarse el ejercicio </w:t>
      </w:r>
      <w:r w:rsidR="00A5653A">
        <w:rPr>
          <w:rStyle w:val="Textoennegrita"/>
          <w:rFonts w:ascii="Verdana" w:hAnsi="Verdana"/>
          <w:b w:val="0"/>
          <w:bCs w:val="0"/>
          <w:sz w:val="22"/>
          <w:szCs w:val="22"/>
        </w:rPr>
        <w:t xml:space="preserve">de determinar si el arrendamiento sobre bienes patrimoniales de una Entidad Local supone una transmisión de </w:t>
      </w:r>
      <w:r w:rsidR="00D96A67">
        <w:rPr>
          <w:rStyle w:val="Textoennegrita"/>
          <w:rFonts w:ascii="Verdana" w:hAnsi="Verdana"/>
          <w:b w:val="0"/>
          <w:bCs w:val="0"/>
          <w:sz w:val="22"/>
          <w:szCs w:val="22"/>
        </w:rPr>
        <w:t xml:space="preserve">un </w:t>
      </w:r>
      <w:r w:rsidR="00A5653A">
        <w:rPr>
          <w:rStyle w:val="Textoennegrita"/>
          <w:rFonts w:ascii="Verdana" w:hAnsi="Verdana"/>
          <w:b w:val="0"/>
          <w:bCs w:val="0"/>
          <w:sz w:val="22"/>
          <w:szCs w:val="22"/>
        </w:rPr>
        <w:t xml:space="preserve">derecho real de goce y disfrute </w:t>
      </w:r>
      <w:r>
        <w:rPr>
          <w:rStyle w:val="Textoennegrita"/>
          <w:rFonts w:ascii="Verdana" w:hAnsi="Verdana"/>
          <w:b w:val="0"/>
          <w:bCs w:val="0"/>
          <w:sz w:val="22"/>
          <w:szCs w:val="22"/>
        </w:rPr>
        <w:t>sobre los mismos</w:t>
      </w:r>
      <w:r w:rsidR="00A5653A">
        <w:rPr>
          <w:rStyle w:val="Textoennegrita"/>
          <w:rFonts w:ascii="Verdana" w:hAnsi="Verdana"/>
          <w:b w:val="0"/>
          <w:bCs w:val="0"/>
          <w:sz w:val="22"/>
          <w:szCs w:val="22"/>
        </w:rPr>
        <w:t>.</w:t>
      </w:r>
      <w:r>
        <w:rPr>
          <w:rFonts w:ascii="Verdana" w:hAnsi="Verdana"/>
          <w:sz w:val="22"/>
          <w:szCs w:val="22"/>
        </w:rPr>
        <w:t xml:space="preserve"> </w:t>
      </w:r>
    </w:p>
    <w:p w14:paraId="0D80939B" w14:textId="77777777" w:rsidR="00DC1364" w:rsidRPr="00CC673B" w:rsidRDefault="00DC1364" w:rsidP="00CF537A">
      <w:pPr>
        <w:pStyle w:val="d1"/>
        <w:shd w:val="clear" w:color="auto" w:fill="FFFFFF"/>
        <w:ind w:firstLine="708"/>
        <w:jc w:val="both"/>
        <w:rPr>
          <w:rFonts w:ascii="Verdana" w:hAnsi="Verdana"/>
          <w:sz w:val="22"/>
          <w:szCs w:val="22"/>
        </w:rPr>
      </w:pPr>
      <w:r w:rsidRPr="00CC673B">
        <w:rPr>
          <w:rFonts w:ascii="Verdana" w:hAnsi="Verdana"/>
          <w:sz w:val="22"/>
          <w:szCs w:val="22"/>
        </w:rPr>
        <w:t>El Código Civil, siguiendo los precedentes del Derecho Romano, regula el contrato de arrendamiento</w:t>
      </w:r>
      <w:r w:rsidR="00910D11" w:rsidRPr="00CC673B">
        <w:rPr>
          <w:rFonts w:ascii="Verdana" w:hAnsi="Verdana"/>
          <w:sz w:val="22"/>
          <w:szCs w:val="22"/>
        </w:rPr>
        <w:t>,</w:t>
      </w:r>
      <w:r w:rsidRPr="00CC673B">
        <w:rPr>
          <w:rFonts w:ascii="Verdana" w:hAnsi="Verdana"/>
          <w:sz w:val="22"/>
          <w:szCs w:val="22"/>
        </w:rPr>
        <w:t xml:space="preserve"> </w:t>
      </w:r>
      <w:r w:rsidR="00910D11" w:rsidRPr="00CC673B">
        <w:rPr>
          <w:rFonts w:ascii="Verdana" w:hAnsi="Verdana"/>
          <w:sz w:val="22"/>
          <w:szCs w:val="22"/>
        </w:rPr>
        <w:t xml:space="preserve">y </w:t>
      </w:r>
      <w:r w:rsidRPr="00CC673B">
        <w:rPr>
          <w:rFonts w:ascii="Verdana" w:hAnsi="Verdana"/>
          <w:sz w:val="22"/>
          <w:szCs w:val="22"/>
        </w:rPr>
        <w:t>el </w:t>
      </w:r>
      <w:hyperlink r:id="rId5" w:anchor="I1680')" w:tooltip="enlace" w:history="1">
        <w:r w:rsidRPr="00CC673B">
          <w:rPr>
            <w:rStyle w:val="Hipervnculo"/>
            <w:rFonts w:ascii="Verdana" w:hAnsi="Verdana"/>
            <w:color w:val="auto"/>
            <w:sz w:val="22"/>
            <w:szCs w:val="22"/>
            <w:u w:val="none"/>
          </w:rPr>
          <w:t>artículo 1543</w:t>
        </w:r>
      </w:hyperlink>
      <w:r w:rsidR="00CF537A" w:rsidRPr="00CC673B">
        <w:rPr>
          <w:rFonts w:ascii="Verdana" w:hAnsi="Verdana"/>
          <w:sz w:val="22"/>
          <w:szCs w:val="22"/>
        </w:rPr>
        <w:t>,</w:t>
      </w:r>
      <w:r w:rsidRPr="00CC673B">
        <w:rPr>
          <w:rFonts w:ascii="Verdana" w:hAnsi="Verdana"/>
          <w:sz w:val="22"/>
          <w:szCs w:val="22"/>
        </w:rPr>
        <w:t xml:space="preserve"> en cuanto al </w:t>
      </w:r>
      <w:r w:rsidR="00910D11" w:rsidRPr="00CC673B">
        <w:rPr>
          <w:rFonts w:ascii="Verdana" w:hAnsi="Verdana"/>
          <w:sz w:val="22"/>
          <w:szCs w:val="22"/>
        </w:rPr>
        <w:t xml:space="preserve">arrendamiento </w:t>
      </w:r>
      <w:r w:rsidRPr="00CC673B">
        <w:rPr>
          <w:rFonts w:ascii="Verdana" w:hAnsi="Verdana"/>
          <w:sz w:val="22"/>
          <w:szCs w:val="22"/>
        </w:rPr>
        <w:t>de cosas</w:t>
      </w:r>
      <w:r w:rsidR="00CF537A" w:rsidRPr="00CC673B">
        <w:rPr>
          <w:rFonts w:ascii="Verdana" w:hAnsi="Verdana"/>
          <w:sz w:val="22"/>
          <w:szCs w:val="22"/>
        </w:rPr>
        <w:t>,</w:t>
      </w:r>
      <w:r w:rsidRPr="00CC673B">
        <w:rPr>
          <w:rFonts w:ascii="Verdana" w:hAnsi="Verdana"/>
          <w:sz w:val="22"/>
          <w:szCs w:val="22"/>
        </w:rPr>
        <w:t xml:space="preserve"> establece que</w:t>
      </w:r>
      <w:r w:rsidR="009B20C6" w:rsidRPr="00CC673B">
        <w:rPr>
          <w:rFonts w:ascii="Verdana" w:hAnsi="Verdana"/>
          <w:sz w:val="22"/>
          <w:szCs w:val="22"/>
        </w:rPr>
        <w:t>,</w:t>
      </w:r>
      <w:r w:rsidRPr="00CC673B">
        <w:rPr>
          <w:rFonts w:ascii="Verdana" w:hAnsi="Verdana"/>
          <w:sz w:val="22"/>
          <w:szCs w:val="22"/>
        </w:rPr>
        <w:t> en el arrendamiento de cosas, una de las partes se obliga a dar a la otra el uso de una cosa por tiempo determinado y precio cierto.</w:t>
      </w:r>
    </w:p>
    <w:p w14:paraId="18AB613A" w14:textId="77777777" w:rsidR="00DC1364" w:rsidRPr="00CC673B" w:rsidRDefault="00DC1364" w:rsidP="00910D11">
      <w:pPr>
        <w:pStyle w:val="NormalWeb"/>
        <w:shd w:val="clear" w:color="auto" w:fill="FFFFFF"/>
        <w:ind w:firstLine="708"/>
        <w:jc w:val="both"/>
        <w:rPr>
          <w:rFonts w:ascii="Verdana" w:hAnsi="Verdana"/>
          <w:sz w:val="22"/>
          <w:szCs w:val="22"/>
        </w:rPr>
      </w:pPr>
      <w:r w:rsidRPr="00CC673B">
        <w:rPr>
          <w:rFonts w:ascii="Verdana" w:hAnsi="Verdana"/>
          <w:sz w:val="22"/>
          <w:szCs w:val="22"/>
        </w:rPr>
        <w:t>Respecto de la </w:t>
      </w:r>
      <w:r w:rsidRPr="00CC673B">
        <w:rPr>
          <w:rFonts w:ascii="Verdana" w:hAnsi="Verdana"/>
          <w:b/>
          <w:bCs/>
          <w:sz w:val="22"/>
          <w:szCs w:val="22"/>
        </w:rPr>
        <w:t>naturaleza jurídica</w:t>
      </w:r>
      <w:r w:rsidRPr="00CC673B">
        <w:rPr>
          <w:rFonts w:ascii="Verdana" w:hAnsi="Verdana"/>
          <w:sz w:val="22"/>
          <w:szCs w:val="22"/>
        </w:rPr>
        <w:t xml:space="preserve"> del </w:t>
      </w:r>
      <w:r w:rsidRPr="00CC673B">
        <w:rPr>
          <w:rFonts w:ascii="Verdana" w:hAnsi="Verdana"/>
          <w:b/>
          <w:bCs/>
          <w:sz w:val="22"/>
          <w:szCs w:val="22"/>
        </w:rPr>
        <w:t>arrendamiento de cosas</w:t>
      </w:r>
      <w:r w:rsidRPr="00CC673B">
        <w:rPr>
          <w:rFonts w:ascii="Verdana" w:hAnsi="Verdana"/>
          <w:sz w:val="22"/>
          <w:szCs w:val="22"/>
        </w:rPr>
        <w:t xml:space="preserve">, la doctrina mantiene que el arrendamiento es un </w:t>
      </w:r>
      <w:r w:rsidRPr="00CC673B">
        <w:rPr>
          <w:rFonts w:ascii="Verdana" w:hAnsi="Verdana"/>
          <w:b/>
          <w:bCs/>
          <w:sz w:val="22"/>
          <w:szCs w:val="22"/>
        </w:rPr>
        <w:t>derecho personal</w:t>
      </w:r>
      <w:r w:rsidRPr="00CC673B">
        <w:rPr>
          <w:rFonts w:ascii="Verdana" w:hAnsi="Verdana"/>
          <w:sz w:val="22"/>
          <w:szCs w:val="22"/>
        </w:rPr>
        <w:t xml:space="preserve">, de crédito y ello por cuanto el arrendatario no tiene sobre la cosa un derecho real (como </w:t>
      </w:r>
      <w:r w:rsidRPr="00CC673B">
        <w:rPr>
          <w:rFonts w:ascii="Verdana" w:hAnsi="Verdana"/>
          <w:sz w:val="22"/>
          <w:szCs w:val="22"/>
        </w:rPr>
        <w:lastRenderedPageBreak/>
        <w:t>poder inmediato y absoluto -</w:t>
      </w:r>
      <w:r w:rsidRPr="00CC673B">
        <w:rPr>
          <w:rFonts w:ascii="Verdana" w:hAnsi="Verdana"/>
          <w:i/>
          <w:iCs/>
          <w:sz w:val="22"/>
          <w:szCs w:val="22"/>
        </w:rPr>
        <w:t>erga omnes</w:t>
      </w:r>
      <w:r w:rsidRPr="00CC673B">
        <w:rPr>
          <w:rFonts w:ascii="Verdana" w:hAnsi="Verdana"/>
          <w:sz w:val="22"/>
          <w:szCs w:val="22"/>
        </w:rPr>
        <w:t>- sobre la cosa), sino un derecho personal (de obligación) frente al arrendador, por lo que éste deberá de mantenerle en la posesión de la cosa arrendada, gozando de la protección posesoria, como poseedor inmediato, pero no </w:t>
      </w:r>
      <w:r w:rsidRPr="00CC673B">
        <w:rPr>
          <w:rFonts w:ascii="Verdana" w:hAnsi="Verdana"/>
          <w:i/>
          <w:iCs/>
          <w:sz w:val="22"/>
          <w:szCs w:val="22"/>
        </w:rPr>
        <w:t>erga omnes</w:t>
      </w:r>
      <w:r w:rsidRPr="00CC673B">
        <w:rPr>
          <w:rFonts w:ascii="Verdana" w:hAnsi="Verdana"/>
          <w:sz w:val="22"/>
          <w:szCs w:val="22"/>
        </w:rPr>
        <w:t>.</w:t>
      </w:r>
    </w:p>
    <w:p w14:paraId="01BD9F3A" w14:textId="77777777" w:rsidR="009166AA" w:rsidRPr="00CC673B" w:rsidRDefault="009166AA" w:rsidP="00CF537A">
      <w:pPr>
        <w:pStyle w:val="d1"/>
        <w:shd w:val="clear" w:color="auto" w:fill="FFFFFF"/>
        <w:ind w:firstLine="708"/>
        <w:jc w:val="both"/>
        <w:rPr>
          <w:rFonts w:ascii="Verdana" w:hAnsi="Verdana"/>
          <w:sz w:val="22"/>
          <w:szCs w:val="22"/>
        </w:rPr>
      </w:pPr>
      <w:r w:rsidRPr="00CC673B">
        <w:rPr>
          <w:rFonts w:ascii="Verdana" w:hAnsi="Verdana"/>
          <w:sz w:val="22"/>
          <w:szCs w:val="22"/>
        </w:rPr>
        <w:t>En apoyo de esta tesis puede consultarse:</w:t>
      </w:r>
    </w:p>
    <w:p w14:paraId="62922D8A" w14:textId="77777777" w:rsidR="00CF537A" w:rsidRPr="00CC673B" w:rsidRDefault="00CF537A" w:rsidP="00CF537A">
      <w:pPr>
        <w:pStyle w:val="d1"/>
        <w:shd w:val="clear" w:color="auto" w:fill="FFFFFF"/>
        <w:ind w:firstLine="708"/>
        <w:jc w:val="both"/>
        <w:rPr>
          <w:rFonts w:ascii="Verdana" w:hAnsi="Verdana"/>
          <w:sz w:val="22"/>
          <w:szCs w:val="22"/>
        </w:rPr>
      </w:pPr>
      <w:r w:rsidRPr="00CC673B">
        <w:rPr>
          <w:rFonts w:ascii="Verdana" w:hAnsi="Verdana"/>
          <w:sz w:val="22"/>
          <w:szCs w:val="22"/>
        </w:rPr>
        <w:t>https://guiasjuridicas.wolterskluwer.es/Content/Documento.aspx?params=H4sIAAAAAAAEAMtMSbF1jTAAAUNDM0NjtbLUouLM_DxbIwMDCwNzAwuQQGZapUt-ckhlQaptWmJOcSoANUqhvjUAAAA=WKE</w:t>
      </w:r>
    </w:p>
    <w:p w14:paraId="1CE9ED31" w14:textId="77777777" w:rsidR="00952C38" w:rsidRPr="00CC673B" w:rsidRDefault="00A5653A" w:rsidP="00C03761">
      <w:pPr>
        <w:pStyle w:val="NormalWeb"/>
        <w:shd w:val="clear" w:color="auto" w:fill="FFFFFF"/>
        <w:spacing w:before="0" w:beforeAutospacing="0" w:after="0" w:afterAutospacing="0"/>
        <w:ind w:firstLine="708"/>
        <w:jc w:val="both"/>
        <w:rPr>
          <w:rStyle w:val="nfasis"/>
          <w:rFonts w:ascii="Verdana" w:hAnsi="Verdana"/>
          <w:i w:val="0"/>
          <w:iCs w:val="0"/>
          <w:sz w:val="22"/>
          <w:szCs w:val="22"/>
        </w:rPr>
      </w:pPr>
      <w:r>
        <w:rPr>
          <w:rFonts w:ascii="Verdana" w:hAnsi="Verdana" w:cs="Tahoma"/>
          <w:sz w:val="22"/>
          <w:szCs w:val="22"/>
        </w:rPr>
        <w:t>Como</w:t>
      </w:r>
      <w:r w:rsidR="009166AA" w:rsidRPr="00CC673B">
        <w:rPr>
          <w:rFonts w:ascii="Verdana" w:hAnsi="Verdana" w:cs="Tahoma"/>
          <w:sz w:val="22"/>
          <w:szCs w:val="22"/>
        </w:rPr>
        <w:t xml:space="preserve"> conclusión de lo anterior, </w:t>
      </w:r>
      <w:r w:rsidR="000E5451" w:rsidRPr="00CC673B">
        <w:rPr>
          <w:rFonts w:ascii="Verdana" w:hAnsi="Verdana" w:cs="Tahoma"/>
          <w:sz w:val="22"/>
          <w:szCs w:val="22"/>
        </w:rPr>
        <w:t xml:space="preserve">en el caso de un </w:t>
      </w:r>
      <w:r w:rsidR="000E5451" w:rsidRPr="00CC673B">
        <w:rPr>
          <w:rFonts w:ascii="Verdana" w:hAnsi="Verdana" w:cs="Tahoma"/>
          <w:b/>
          <w:bCs/>
          <w:sz w:val="22"/>
          <w:szCs w:val="22"/>
        </w:rPr>
        <w:t>arrendamiento de bienes inmuebles patrimoniales</w:t>
      </w:r>
      <w:r w:rsidR="000E5451" w:rsidRPr="00CC673B">
        <w:rPr>
          <w:rFonts w:ascii="Verdana" w:hAnsi="Verdana" w:cs="Tahoma"/>
          <w:sz w:val="22"/>
          <w:szCs w:val="22"/>
        </w:rPr>
        <w:t xml:space="preserve"> realizado por </w:t>
      </w:r>
      <w:r w:rsidR="009166AA" w:rsidRPr="00CC673B">
        <w:rPr>
          <w:rFonts w:ascii="Verdana" w:hAnsi="Verdana" w:cs="Tahoma"/>
          <w:sz w:val="22"/>
          <w:szCs w:val="22"/>
        </w:rPr>
        <w:t xml:space="preserve">la Administración </w:t>
      </w:r>
      <w:r w:rsidR="000E5451" w:rsidRPr="00CC673B">
        <w:rPr>
          <w:rFonts w:ascii="Verdana" w:hAnsi="Verdana" w:cs="Tahoma"/>
          <w:sz w:val="22"/>
          <w:szCs w:val="22"/>
        </w:rPr>
        <w:t>L</w:t>
      </w:r>
      <w:r w:rsidR="009166AA" w:rsidRPr="00CC673B">
        <w:rPr>
          <w:rFonts w:ascii="Verdana" w:hAnsi="Verdana" w:cs="Tahoma"/>
          <w:sz w:val="22"/>
          <w:szCs w:val="22"/>
        </w:rPr>
        <w:t xml:space="preserve">ocal </w:t>
      </w:r>
      <w:r w:rsidR="009166AA" w:rsidRPr="00CC673B">
        <w:rPr>
          <w:rFonts w:ascii="Verdana" w:hAnsi="Verdana" w:cs="Tahoma"/>
          <w:b/>
          <w:bCs/>
          <w:sz w:val="22"/>
          <w:szCs w:val="22"/>
        </w:rPr>
        <w:t>no</w:t>
      </w:r>
      <w:r w:rsidR="009166AA" w:rsidRPr="00CC673B">
        <w:rPr>
          <w:rFonts w:ascii="Verdana" w:hAnsi="Verdana" w:cs="Tahoma"/>
          <w:sz w:val="22"/>
          <w:szCs w:val="22"/>
        </w:rPr>
        <w:t xml:space="preserve"> estaríamos en el supuesto de </w:t>
      </w:r>
      <w:r w:rsidR="009166AA" w:rsidRPr="00CC673B">
        <w:rPr>
          <w:rFonts w:ascii="Verdana" w:hAnsi="Verdana"/>
          <w:b/>
          <w:bCs/>
          <w:sz w:val="22"/>
          <w:szCs w:val="22"/>
        </w:rPr>
        <w:t>constitución y transmisión de</w:t>
      </w:r>
      <w:r w:rsidR="00D96A67">
        <w:rPr>
          <w:rFonts w:ascii="Verdana" w:hAnsi="Verdana"/>
          <w:b/>
          <w:bCs/>
          <w:sz w:val="22"/>
          <w:szCs w:val="22"/>
        </w:rPr>
        <w:t xml:space="preserve"> un </w:t>
      </w:r>
      <w:r w:rsidR="009166AA" w:rsidRPr="00CC673B">
        <w:rPr>
          <w:rFonts w:ascii="Verdana" w:hAnsi="Verdana"/>
          <w:b/>
          <w:bCs/>
          <w:sz w:val="22"/>
          <w:szCs w:val="22"/>
        </w:rPr>
        <w:t>derecho real</w:t>
      </w:r>
      <w:r w:rsidR="009166AA" w:rsidRPr="00CC673B">
        <w:rPr>
          <w:rFonts w:ascii="Verdana" w:hAnsi="Verdana"/>
          <w:sz w:val="22"/>
          <w:szCs w:val="22"/>
        </w:rPr>
        <w:t xml:space="preserve"> </w:t>
      </w:r>
      <w:r w:rsidR="009166AA" w:rsidRPr="00D96A67">
        <w:rPr>
          <w:rFonts w:ascii="Verdana" w:hAnsi="Verdana"/>
          <w:sz w:val="22"/>
          <w:szCs w:val="22"/>
        </w:rPr>
        <w:t xml:space="preserve">de goce </w:t>
      </w:r>
      <w:r w:rsidR="00952C38" w:rsidRPr="00D96A67">
        <w:rPr>
          <w:rFonts w:ascii="Verdana" w:hAnsi="Verdana"/>
          <w:sz w:val="22"/>
          <w:szCs w:val="22"/>
        </w:rPr>
        <w:t>o</w:t>
      </w:r>
      <w:r w:rsidR="009166AA" w:rsidRPr="00D96A67">
        <w:rPr>
          <w:rFonts w:ascii="Verdana" w:hAnsi="Verdana"/>
          <w:sz w:val="22"/>
          <w:szCs w:val="22"/>
        </w:rPr>
        <w:t xml:space="preserve"> disfrute sobre terrenos</w:t>
      </w:r>
      <w:r w:rsidR="00D96A67">
        <w:rPr>
          <w:rFonts w:ascii="Verdana" w:hAnsi="Verdana"/>
          <w:sz w:val="22"/>
          <w:szCs w:val="22"/>
        </w:rPr>
        <w:t xml:space="preserve"> </w:t>
      </w:r>
      <w:r>
        <w:rPr>
          <w:rFonts w:ascii="Verdana" w:hAnsi="Verdana"/>
          <w:sz w:val="22"/>
          <w:szCs w:val="22"/>
        </w:rPr>
        <w:t xml:space="preserve">y por ello en una interpretación estricta tal operación de tráfico jurídico de bienes no </w:t>
      </w:r>
      <w:r w:rsidR="009166AA" w:rsidRPr="00CC673B">
        <w:rPr>
          <w:rFonts w:ascii="Verdana" w:hAnsi="Verdana"/>
          <w:sz w:val="22"/>
          <w:szCs w:val="22"/>
        </w:rPr>
        <w:t>estaría sujet</w:t>
      </w:r>
      <w:r>
        <w:rPr>
          <w:rFonts w:ascii="Verdana" w:hAnsi="Verdana"/>
          <w:sz w:val="22"/>
          <w:szCs w:val="22"/>
        </w:rPr>
        <w:t>a</w:t>
      </w:r>
      <w:r w:rsidR="009166AA" w:rsidRPr="00CC673B">
        <w:rPr>
          <w:rFonts w:ascii="Verdana" w:hAnsi="Verdana"/>
          <w:sz w:val="22"/>
          <w:szCs w:val="22"/>
        </w:rPr>
        <w:t xml:space="preserve"> a IVA</w:t>
      </w:r>
      <w:r w:rsidR="00952C38" w:rsidRPr="00CC673B">
        <w:rPr>
          <w:rStyle w:val="nfasis"/>
          <w:rFonts w:ascii="Verdana" w:hAnsi="Verdana"/>
          <w:i w:val="0"/>
          <w:iCs w:val="0"/>
          <w:sz w:val="22"/>
          <w:szCs w:val="22"/>
        </w:rPr>
        <w:t>.</w:t>
      </w:r>
    </w:p>
    <w:p w14:paraId="553D240D" w14:textId="77777777" w:rsidR="00952C38" w:rsidRPr="00CC673B" w:rsidRDefault="00952C38" w:rsidP="00C03761">
      <w:pPr>
        <w:pStyle w:val="NormalWeb"/>
        <w:shd w:val="clear" w:color="auto" w:fill="FFFFFF"/>
        <w:spacing w:before="0" w:beforeAutospacing="0" w:after="0" w:afterAutospacing="0"/>
        <w:ind w:firstLine="708"/>
        <w:jc w:val="both"/>
        <w:rPr>
          <w:rStyle w:val="nfasis"/>
          <w:rFonts w:ascii="Verdana" w:hAnsi="Verdana"/>
          <w:i w:val="0"/>
          <w:iCs w:val="0"/>
          <w:sz w:val="22"/>
          <w:szCs w:val="22"/>
        </w:rPr>
      </w:pPr>
    </w:p>
    <w:p w14:paraId="259CE9DB" w14:textId="77777777" w:rsidR="00C03761" w:rsidRPr="00CC673B" w:rsidRDefault="00952C38" w:rsidP="00C03761">
      <w:pPr>
        <w:pStyle w:val="NormalWeb"/>
        <w:shd w:val="clear" w:color="auto" w:fill="FFFFFF"/>
        <w:spacing w:before="0" w:beforeAutospacing="0" w:after="0" w:afterAutospacing="0"/>
        <w:ind w:firstLine="708"/>
        <w:jc w:val="both"/>
        <w:rPr>
          <w:rFonts w:ascii="Verdana" w:hAnsi="Verdana"/>
          <w:sz w:val="22"/>
          <w:szCs w:val="22"/>
        </w:rPr>
      </w:pPr>
      <w:r w:rsidRPr="00CC673B">
        <w:rPr>
          <w:rStyle w:val="nfasis"/>
          <w:rFonts w:ascii="Verdana" w:hAnsi="Verdana"/>
          <w:i w:val="0"/>
          <w:iCs w:val="0"/>
          <w:sz w:val="22"/>
          <w:szCs w:val="22"/>
        </w:rPr>
        <w:t xml:space="preserve">Se trataría, por </w:t>
      </w:r>
      <w:r w:rsidR="00D96A67">
        <w:rPr>
          <w:rStyle w:val="nfasis"/>
          <w:rFonts w:ascii="Verdana" w:hAnsi="Verdana"/>
          <w:i w:val="0"/>
          <w:iCs w:val="0"/>
          <w:sz w:val="22"/>
          <w:szCs w:val="22"/>
        </w:rPr>
        <w:t>tanto</w:t>
      </w:r>
      <w:r w:rsidR="009166AA" w:rsidRPr="00CC673B">
        <w:rPr>
          <w:rStyle w:val="nfasis"/>
          <w:rFonts w:ascii="Verdana" w:hAnsi="Verdana"/>
          <w:i w:val="0"/>
          <w:iCs w:val="0"/>
          <w:sz w:val="22"/>
          <w:szCs w:val="22"/>
        </w:rPr>
        <w:t>,</w:t>
      </w:r>
      <w:r w:rsidRPr="00CC673B">
        <w:rPr>
          <w:rStyle w:val="nfasis"/>
          <w:rFonts w:ascii="Verdana" w:hAnsi="Verdana"/>
          <w:i w:val="0"/>
          <w:iCs w:val="0"/>
          <w:sz w:val="22"/>
          <w:szCs w:val="22"/>
        </w:rPr>
        <w:t xml:space="preserve"> en los casos de </w:t>
      </w:r>
      <w:r w:rsidRPr="00CC673B">
        <w:rPr>
          <w:rFonts w:ascii="Verdana" w:hAnsi="Verdana" w:cs="Tahoma"/>
          <w:b/>
          <w:bCs/>
          <w:sz w:val="22"/>
          <w:szCs w:val="22"/>
        </w:rPr>
        <w:t>arrendamientos de bienes inmuebles patrimoniales</w:t>
      </w:r>
      <w:r w:rsidRPr="00CC673B">
        <w:rPr>
          <w:rFonts w:ascii="Verdana" w:hAnsi="Verdana" w:cs="Tahoma"/>
          <w:sz w:val="22"/>
          <w:szCs w:val="22"/>
        </w:rPr>
        <w:t xml:space="preserve"> realizado por la Administración Local, de</w:t>
      </w:r>
      <w:r w:rsidR="00D96A67">
        <w:rPr>
          <w:rFonts w:ascii="Verdana" w:hAnsi="Verdana" w:cs="Tahoma"/>
          <w:sz w:val="22"/>
          <w:szCs w:val="22"/>
        </w:rPr>
        <w:t xml:space="preserve"> la</w:t>
      </w:r>
      <w:r w:rsidR="00C03761" w:rsidRPr="00CC673B">
        <w:rPr>
          <w:rStyle w:val="nfasis"/>
          <w:rFonts w:ascii="Verdana" w:hAnsi="Verdana"/>
          <w:sz w:val="22"/>
          <w:szCs w:val="22"/>
        </w:rPr>
        <w:t xml:space="preserve"> </w:t>
      </w:r>
      <w:r w:rsidR="00D96A67" w:rsidRPr="00D96A67">
        <w:rPr>
          <w:rStyle w:val="nfasis"/>
          <w:rFonts w:ascii="Verdana" w:hAnsi="Verdana"/>
          <w:i w:val="0"/>
          <w:iCs w:val="0"/>
          <w:sz w:val="22"/>
          <w:szCs w:val="22"/>
        </w:rPr>
        <w:t>trasmisión de un</w:t>
      </w:r>
      <w:r w:rsidR="00D96A67">
        <w:rPr>
          <w:rStyle w:val="nfasis"/>
          <w:rFonts w:ascii="Verdana" w:hAnsi="Verdana"/>
          <w:sz w:val="22"/>
          <w:szCs w:val="22"/>
        </w:rPr>
        <w:t xml:space="preserve"> </w:t>
      </w:r>
      <w:r w:rsidRPr="00CC673B">
        <w:rPr>
          <w:rStyle w:val="nfasis"/>
          <w:rFonts w:ascii="Verdana" w:hAnsi="Verdana"/>
          <w:i w:val="0"/>
          <w:iCs w:val="0"/>
          <w:sz w:val="22"/>
          <w:szCs w:val="22"/>
        </w:rPr>
        <w:t>derecho personal de</w:t>
      </w:r>
      <w:r w:rsidRPr="00CC673B">
        <w:rPr>
          <w:rStyle w:val="nfasis"/>
          <w:rFonts w:ascii="Verdana" w:hAnsi="Verdana"/>
          <w:sz w:val="22"/>
          <w:szCs w:val="22"/>
        </w:rPr>
        <w:t xml:space="preserve"> </w:t>
      </w:r>
      <w:r w:rsidR="00C03761" w:rsidRPr="00CC673B">
        <w:rPr>
          <w:rFonts w:ascii="Verdana" w:hAnsi="Verdana"/>
          <w:sz w:val="22"/>
          <w:szCs w:val="22"/>
        </w:rPr>
        <w:t xml:space="preserve">arrendamiento de bienes sin opción de compra (porque la compra </w:t>
      </w:r>
      <w:r w:rsidRPr="00CC673B">
        <w:rPr>
          <w:rFonts w:ascii="Verdana" w:hAnsi="Verdana"/>
          <w:sz w:val="22"/>
          <w:szCs w:val="22"/>
        </w:rPr>
        <w:t xml:space="preserve">no cabe como opción, ya que </w:t>
      </w:r>
      <w:r w:rsidR="00C03761" w:rsidRPr="00CC673B">
        <w:rPr>
          <w:rFonts w:ascii="Verdana" w:hAnsi="Verdana"/>
          <w:sz w:val="22"/>
          <w:szCs w:val="22"/>
        </w:rPr>
        <w:t>requeriría un procedimiento diferenciado para llevarla a cabo) que tiene</w:t>
      </w:r>
      <w:r w:rsidR="00D96A67">
        <w:rPr>
          <w:rFonts w:ascii="Verdana" w:hAnsi="Verdana"/>
          <w:sz w:val="22"/>
          <w:szCs w:val="22"/>
        </w:rPr>
        <w:t>,</w:t>
      </w:r>
      <w:r w:rsidR="00C03761" w:rsidRPr="00CC673B">
        <w:rPr>
          <w:rFonts w:ascii="Verdana" w:hAnsi="Verdana"/>
          <w:sz w:val="22"/>
          <w:szCs w:val="22"/>
        </w:rPr>
        <w:t xml:space="preserve"> conforme a la propia Ley</w:t>
      </w:r>
      <w:r w:rsidR="00D96A67">
        <w:rPr>
          <w:rFonts w:ascii="Verdana" w:hAnsi="Verdana"/>
          <w:sz w:val="22"/>
          <w:szCs w:val="22"/>
        </w:rPr>
        <w:t>,</w:t>
      </w:r>
      <w:r w:rsidR="00C03761" w:rsidRPr="00CC673B">
        <w:rPr>
          <w:rFonts w:ascii="Verdana" w:hAnsi="Verdana"/>
          <w:sz w:val="22"/>
          <w:szCs w:val="22"/>
        </w:rPr>
        <w:t xml:space="preserve"> la consideración de servicios, siendo la consecuencia la exención del IVA</w:t>
      </w:r>
      <w:r w:rsidR="00D96A67">
        <w:rPr>
          <w:rFonts w:ascii="Verdana" w:hAnsi="Verdana"/>
          <w:sz w:val="22"/>
          <w:szCs w:val="22"/>
        </w:rPr>
        <w:t>, con arreglo a la misma Ley</w:t>
      </w:r>
      <w:r w:rsidR="00C03761" w:rsidRPr="00CC673B">
        <w:rPr>
          <w:rFonts w:ascii="Verdana" w:hAnsi="Verdana"/>
          <w:sz w:val="22"/>
          <w:szCs w:val="22"/>
        </w:rPr>
        <w:t>.</w:t>
      </w:r>
    </w:p>
    <w:p w14:paraId="0FC435F4" w14:textId="77777777" w:rsidR="000E5451" w:rsidRDefault="000E5451" w:rsidP="00C03761">
      <w:pPr>
        <w:pStyle w:val="NormalWeb"/>
        <w:shd w:val="clear" w:color="auto" w:fill="FFFFFF"/>
        <w:spacing w:before="0" w:beforeAutospacing="0" w:after="0" w:afterAutospacing="0"/>
        <w:ind w:firstLine="708"/>
        <w:jc w:val="both"/>
        <w:rPr>
          <w:rFonts w:ascii="Verdana" w:hAnsi="Verdana"/>
          <w:sz w:val="22"/>
          <w:szCs w:val="22"/>
        </w:rPr>
      </w:pPr>
    </w:p>
    <w:p w14:paraId="75567860" w14:textId="77777777" w:rsidR="00D96A67" w:rsidRPr="00CC673B" w:rsidRDefault="00D96A67" w:rsidP="00C03761">
      <w:pPr>
        <w:pStyle w:val="NormalWeb"/>
        <w:shd w:val="clear" w:color="auto" w:fill="FFFFFF"/>
        <w:spacing w:before="0" w:beforeAutospacing="0" w:after="0" w:afterAutospacing="0"/>
        <w:ind w:firstLine="708"/>
        <w:jc w:val="both"/>
        <w:rPr>
          <w:rFonts w:ascii="Verdana" w:hAnsi="Verdana"/>
          <w:sz w:val="22"/>
          <w:szCs w:val="22"/>
        </w:rPr>
      </w:pPr>
    </w:p>
    <w:p w14:paraId="1154F78F" w14:textId="77777777" w:rsidR="00DC1364" w:rsidRPr="00CC673B" w:rsidRDefault="00B17881" w:rsidP="00C03761">
      <w:pPr>
        <w:pStyle w:val="NormalWeb"/>
        <w:shd w:val="clear" w:color="auto" w:fill="FFFFFF"/>
        <w:spacing w:before="0" w:beforeAutospacing="0" w:after="0" w:afterAutospacing="0"/>
        <w:ind w:firstLine="708"/>
        <w:jc w:val="both"/>
        <w:rPr>
          <w:rStyle w:val="nfasis"/>
          <w:rFonts w:ascii="Verdana" w:hAnsi="Verdana"/>
          <w:sz w:val="22"/>
          <w:szCs w:val="22"/>
        </w:rPr>
      </w:pPr>
      <w:r w:rsidRPr="00CC673B">
        <w:rPr>
          <w:rStyle w:val="nfasis"/>
          <w:rFonts w:ascii="Verdana" w:hAnsi="Verdana"/>
          <w:i w:val="0"/>
          <w:iCs w:val="0"/>
          <w:sz w:val="22"/>
          <w:szCs w:val="22"/>
        </w:rPr>
        <w:t xml:space="preserve">Todo lo anterior no enerva el que </w:t>
      </w:r>
      <w:r w:rsidR="00912F1E" w:rsidRPr="00CC673B">
        <w:rPr>
          <w:rStyle w:val="nfasis"/>
          <w:rFonts w:ascii="Verdana" w:hAnsi="Verdana"/>
          <w:i w:val="0"/>
          <w:iCs w:val="0"/>
          <w:sz w:val="22"/>
          <w:szCs w:val="22"/>
        </w:rPr>
        <w:t>de</w:t>
      </w:r>
      <w:r w:rsidRPr="00CC673B">
        <w:rPr>
          <w:rStyle w:val="nfasis"/>
          <w:rFonts w:ascii="Verdana" w:hAnsi="Verdana"/>
          <w:sz w:val="22"/>
          <w:szCs w:val="22"/>
        </w:rPr>
        <w:t xml:space="preserve"> lege ferenda</w:t>
      </w:r>
      <w:r w:rsidRPr="00CC673B">
        <w:rPr>
          <w:rStyle w:val="nfasis"/>
          <w:rFonts w:ascii="Verdana" w:hAnsi="Verdana"/>
          <w:i w:val="0"/>
          <w:iCs w:val="0"/>
          <w:sz w:val="22"/>
          <w:szCs w:val="22"/>
        </w:rPr>
        <w:t xml:space="preserve"> una Ley tan relevante como la del IVA debiera tener una sistemática más clarificadora sin presentar tant</w:t>
      </w:r>
      <w:r w:rsidR="00912F1E" w:rsidRPr="00CC673B">
        <w:rPr>
          <w:rStyle w:val="nfasis"/>
          <w:rFonts w:ascii="Verdana" w:hAnsi="Verdana"/>
          <w:i w:val="0"/>
          <w:iCs w:val="0"/>
          <w:sz w:val="22"/>
          <w:szCs w:val="22"/>
        </w:rPr>
        <w:t>a</w:t>
      </w:r>
      <w:r w:rsidRPr="00CC673B">
        <w:rPr>
          <w:rStyle w:val="nfasis"/>
          <w:rFonts w:ascii="Verdana" w:hAnsi="Verdana"/>
          <w:i w:val="0"/>
          <w:iCs w:val="0"/>
          <w:sz w:val="22"/>
          <w:szCs w:val="22"/>
        </w:rPr>
        <w:t xml:space="preserve"> excepción y contra excepción a la norma general, de</w:t>
      </w:r>
      <w:r w:rsidR="00912F1E" w:rsidRPr="00CC673B">
        <w:rPr>
          <w:rStyle w:val="nfasis"/>
          <w:rFonts w:ascii="Verdana" w:hAnsi="Verdana"/>
          <w:i w:val="0"/>
          <w:iCs w:val="0"/>
          <w:sz w:val="22"/>
          <w:szCs w:val="22"/>
        </w:rPr>
        <w:t>finien</w:t>
      </w:r>
      <w:r w:rsidRPr="00CC673B">
        <w:rPr>
          <w:rStyle w:val="nfasis"/>
          <w:rFonts w:ascii="Verdana" w:hAnsi="Verdana"/>
          <w:i w:val="0"/>
          <w:iCs w:val="0"/>
          <w:sz w:val="22"/>
          <w:szCs w:val="22"/>
        </w:rPr>
        <w:t>do</w:t>
      </w:r>
      <w:r w:rsidR="00D96A67">
        <w:rPr>
          <w:rStyle w:val="nfasis"/>
          <w:rFonts w:ascii="Verdana" w:hAnsi="Verdana"/>
          <w:i w:val="0"/>
          <w:iCs w:val="0"/>
          <w:sz w:val="22"/>
          <w:szCs w:val="22"/>
        </w:rPr>
        <w:t>,</w:t>
      </w:r>
      <w:r w:rsidRPr="00CC673B">
        <w:rPr>
          <w:rStyle w:val="nfasis"/>
          <w:rFonts w:ascii="Verdana" w:hAnsi="Verdana"/>
          <w:i w:val="0"/>
          <w:iCs w:val="0"/>
          <w:sz w:val="22"/>
          <w:szCs w:val="22"/>
        </w:rPr>
        <w:t xml:space="preserve"> a su vez</w:t>
      </w:r>
      <w:r w:rsidR="00D96A67">
        <w:rPr>
          <w:rStyle w:val="nfasis"/>
          <w:rFonts w:ascii="Verdana" w:hAnsi="Verdana"/>
          <w:i w:val="0"/>
          <w:iCs w:val="0"/>
          <w:sz w:val="22"/>
          <w:szCs w:val="22"/>
        </w:rPr>
        <w:t>,</w:t>
      </w:r>
      <w:r w:rsidRPr="00CC673B">
        <w:rPr>
          <w:rStyle w:val="nfasis"/>
          <w:rFonts w:ascii="Verdana" w:hAnsi="Verdana"/>
          <w:i w:val="0"/>
          <w:iCs w:val="0"/>
          <w:sz w:val="22"/>
          <w:szCs w:val="22"/>
        </w:rPr>
        <w:t xml:space="preserve"> con mayor precisión y rigor jurídico la diferenciación entre conceptos jurídicos tan </w:t>
      </w:r>
      <w:r w:rsidRPr="00D96A67">
        <w:rPr>
          <w:rStyle w:val="nfasis"/>
          <w:rFonts w:ascii="Verdana" w:hAnsi="Verdana"/>
          <w:sz w:val="22"/>
          <w:szCs w:val="22"/>
        </w:rPr>
        <w:t>fronterizos</w:t>
      </w:r>
      <w:r w:rsidRPr="00CC673B">
        <w:rPr>
          <w:rStyle w:val="nfasis"/>
          <w:rFonts w:ascii="Verdana" w:hAnsi="Verdana"/>
          <w:i w:val="0"/>
          <w:iCs w:val="0"/>
          <w:sz w:val="22"/>
          <w:szCs w:val="22"/>
        </w:rPr>
        <w:t xml:space="preserve"> y </w:t>
      </w:r>
      <w:r w:rsidR="00912F1E" w:rsidRPr="00CC673B">
        <w:rPr>
          <w:rStyle w:val="nfasis"/>
          <w:rFonts w:ascii="Verdana" w:hAnsi="Verdana"/>
          <w:i w:val="0"/>
          <w:iCs w:val="0"/>
          <w:sz w:val="22"/>
          <w:szCs w:val="22"/>
        </w:rPr>
        <w:t xml:space="preserve">que </w:t>
      </w:r>
      <w:r w:rsidRPr="00CC673B">
        <w:rPr>
          <w:rStyle w:val="nfasis"/>
          <w:rFonts w:ascii="Verdana" w:hAnsi="Verdana"/>
          <w:i w:val="0"/>
          <w:iCs w:val="0"/>
          <w:sz w:val="22"/>
          <w:szCs w:val="22"/>
        </w:rPr>
        <w:t>por tanto puede</w:t>
      </w:r>
      <w:r w:rsidR="00912F1E" w:rsidRPr="00CC673B">
        <w:rPr>
          <w:rStyle w:val="nfasis"/>
          <w:rFonts w:ascii="Verdana" w:hAnsi="Verdana"/>
          <w:i w:val="0"/>
          <w:iCs w:val="0"/>
          <w:sz w:val="22"/>
          <w:szCs w:val="22"/>
        </w:rPr>
        <w:t>n</w:t>
      </w:r>
      <w:r w:rsidRPr="00CC673B">
        <w:rPr>
          <w:rStyle w:val="nfasis"/>
          <w:rFonts w:ascii="Verdana" w:hAnsi="Verdana"/>
          <w:i w:val="0"/>
          <w:iCs w:val="0"/>
          <w:sz w:val="22"/>
          <w:szCs w:val="22"/>
        </w:rPr>
        <w:t xml:space="preserve"> llevar a confusión al sujeto contribuyente</w:t>
      </w:r>
      <w:r w:rsidR="006B7218" w:rsidRPr="00CC673B">
        <w:rPr>
          <w:rStyle w:val="nfasis"/>
          <w:rFonts w:ascii="Verdana" w:hAnsi="Verdana"/>
          <w:i w:val="0"/>
          <w:iCs w:val="0"/>
          <w:sz w:val="22"/>
          <w:szCs w:val="22"/>
        </w:rPr>
        <w:t>, por lo cual en supuestos de duda se recomienda a los Entes Locales afectados solicitar informe concreto a los organismos de la Hacienda Estatal competentes para emitirlo o a otros órganos consultivos</w:t>
      </w:r>
      <w:r w:rsidRPr="00CC673B">
        <w:rPr>
          <w:rStyle w:val="nfasis"/>
          <w:rFonts w:ascii="Verdana" w:hAnsi="Verdana"/>
          <w:i w:val="0"/>
          <w:iCs w:val="0"/>
          <w:sz w:val="22"/>
          <w:szCs w:val="22"/>
        </w:rPr>
        <w:t xml:space="preserve">.  </w:t>
      </w:r>
      <w:r w:rsidR="009166AA" w:rsidRPr="00CC673B">
        <w:rPr>
          <w:rStyle w:val="nfasis"/>
          <w:rFonts w:ascii="Verdana" w:hAnsi="Verdana"/>
          <w:sz w:val="22"/>
          <w:szCs w:val="22"/>
        </w:rPr>
        <w:t xml:space="preserve"> </w:t>
      </w:r>
    </w:p>
    <w:p w14:paraId="03A9E605" w14:textId="77777777" w:rsidR="00B17881" w:rsidRPr="00CC673B" w:rsidRDefault="00B17881" w:rsidP="00C03761">
      <w:pPr>
        <w:pStyle w:val="NormalWeb"/>
        <w:shd w:val="clear" w:color="auto" w:fill="FFFFFF"/>
        <w:spacing w:before="0" w:beforeAutospacing="0" w:after="0" w:afterAutospacing="0"/>
        <w:ind w:firstLine="708"/>
        <w:jc w:val="both"/>
        <w:rPr>
          <w:rStyle w:val="nfasis"/>
          <w:rFonts w:ascii="Verdana" w:hAnsi="Verdana"/>
          <w:sz w:val="22"/>
          <w:szCs w:val="22"/>
        </w:rPr>
      </w:pPr>
    </w:p>
    <w:p w14:paraId="27EA02B8" w14:textId="77777777" w:rsidR="00C03761" w:rsidRPr="00CC673B" w:rsidRDefault="00C03761" w:rsidP="00C03761">
      <w:pPr>
        <w:pStyle w:val="NormalWeb"/>
        <w:shd w:val="clear" w:color="auto" w:fill="FFFFFF"/>
        <w:spacing w:before="0" w:beforeAutospacing="0" w:after="0" w:afterAutospacing="0"/>
        <w:ind w:firstLine="708"/>
        <w:jc w:val="both"/>
        <w:rPr>
          <w:rFonts w:ascii="Verdana" w:hAnsi="Verdana" w:cs="Tahoma"/>
          <w:sz w:val="22"/>
          <w:szCs w:val="22"/>
        </w:rPr>
      </w:pPr>
    </w:p>
    <w:p w14:paraId="57770976" w14:textId="77777777" w:rsidR="00DC1364" w:rsidRPr="00CC673B" w:rsidRDefault="00C03761" w:rsidP="00C03761">
      <w:pPr>
        <w:spacing w:before="0" w:beforeAutospacing="0" w:after="0" w:afterAutospacing="0"/>
        <w:ind w:firstLine="708"/>
        <w:rPr>
          <w:rFonts w:ascii="Verdana" w:eastAsia="Times New Roman" w:hAnsi="Verdana" w:cs="Tahoma"/>
          <w:lang w:eastAsia="es-ES"/>
        </w:rPr>
      </w:pPr>
      <w:r w:rsidRPr="00CC673B">
        <w:rPr>
          <w:rFonts w:ascii="Verdana" w:eastAsia="Times New Roman" w:hAnsi="Verdana" w:cs="Tahoma"/>
          <w:lang w:eastAsia="es-ES"/>
        </w:rPr>
        <w:t>Finalmente procede hacer una referencia a que los bienes comunales de las Entidades Locales no han dejado de tener tal naturaleza si no se ha llevado a cabo la desafectación de los mismos, por lo que el acto de disposición que se haga sobre ellos en estos casos de ausencia de desafectación no sería un arrendamiento de bienes</w:t>
      </w:r>
      <w:r w:rsidR="00D96A67">
        <w:rPr>
          <w:rFonts w:ascii="Verdana" w:eastAsia="Times New Roman" w:hAnsi="Verdana" w:cs="Tahoma"/>
          <w:lang w:eastAsia="es-ES"/>
        </w:rPr>
        <w:t>,</w:t>
      </w:r>
      <w:r w:rsidRPr="00CC673B">
        <w:rPr>
          <w:rFonts w:ascii="Verdana" w:eastAsia="Times New Roman" w:hAnsi="Verdana" w:cs="Tahoma"/>
          <w:lang w:eastAsia="es-ES"/>
        </w:rPr>
        <w:t xml:space="preserve"> al no tener </w:t>
      </w:r>
      <w:r w:rsidR="00D96A67">
        <w:rPr>
          <w:rFonts w:ascii="Verdana" w:eastAsia="Times New Roman" w:hAnsi="Verdana" w:cs="Tahoma"/>
          <w:lang w:eastAsia="es-ES"/>
        </w:rPr>
        <w:t xml:space="preserve">éstos </w:t>
      </w:r>
      <w:r w:rsidRPr="00CC673B">
        <w:rPr>
          <w:rFonts w:ascii="Verdana" w:eastAsia="Times New Roman" w:hAnsi="Verdana" w:cs="Tahoma"/>
          <w:lang w:eastAsia="es-ES"/>
        </w:rPr>
        <w:t>el carácter patrimonial</w:t>
      </w:r>
      <w:r w:rsidR="00B17881" w:rsidRPr="00CC673B">
        <w:rPr>
          <w:rFonts w:ascii="Verdana" w:eastAsia="Times New Roman" w:hAnsi="Verdana" w:cs="Tahoma"/>
          <w:lang w:eastAsia="es-ES"/>
        </w:rPr>
        <w:t>, debiendo evitar tales Entes caer en tal confusión  terminológica en el tráfico de sus bienes, que, por otra parte, deben mantenerse en el Inventario inscritos con la verdadera naturaleza jurídica que les corresponde.</w:t>
      </w:r>
      <w:r w:rsidRPr="00CC673B">
        <w:rPr>
          <w:rFonts w:ascii="Verdana" w:eastAsia="Times New Roman" w:hAnsi="Verdana" w:cs="Tahoma"/>
          <w:lang w:eastAsia="es-ES"/>
        </w:rPr>
        <w:t xml:space="preserve">  </w:t>
      </w:r>
    </w:p>
    <w:p w14:paraId="0CB2CBB0" w14:textId="77777777" w:rsidR="006B7218" w:rsidRPr="00CC673B" w:rsidRDefault="006B7218" w:rsidP="00C03761">
      <w:pPr>
        <w:spacing w:before="0" w:beforeAutospacing="0" w:after="0" w:afterAutospacing="0"/>
        <w:ind w:firstLine="708"/>
        <w:rPr>
          <w:rFonts w:ascii="Verdana" w:eastAsia="Times New Roman" w:hAnsi="Verdana" w:cs="Tahoma"/>
          <w:lang w:eastAsia="es-ES"/>
        </w:rPr>
      </w:pPr>
    </w:p>
    <w:p w14:paraId="423CCDEB" w14:textId="77777777" w:rsidR="006B7218" w:rsidRPr="00CC673B" w:rsidRDefault="006B7218" w:rsidP="00C03761">
      <w:pPr>
        <w:spacing w:before="0" w:beforeAutospacing="0" w:after="0" w:afterAutospacing="0"/>
        <w:ind w:firstLine="708"/>
        <w:rPr>
          <w:rFonts w:ascii="Verdana" w:eastAsia="Times New Roman" w:hAnsi="Verdana" w:cs="Tahoma"/>
          <w:lang w:eastAsia="es-ES"/>
        </w:rPr>
      </w:pPr>
    </w:p>
    <w:p w14:paraId="31B485F1" w14:textId="77777777" w:rsidR="000E5451" w:rsidRPr="000E5451" w:rsidRDefault="006B7218" w:rsidP="006B7218">
      <w:pPr>
        <w:spacing w:before="0" w:beforeAutospacing="0" w:after="0" w:afterAutospacing="0"/>
        <w:ind w:firstLine="708"/>
        <w:rPr>
          <w:rFonts w:ascii="Verdana" w:eastAsia="Times New Roman" w:hAnsi="Verdana"/>
          <w:lang w:eastAsia="es-ES"/>
        </w:rPr>
      </w:pPr>
      <w:r w:rsidRPr="00CC673B">
        <w:rPr>
          <w:rFonts w:ascii="Verdana" w:eastAsia="Times New Roman" w:hAnsi="Verdana" w:cs="Tahoma"/>
          <w:lang w:eastAsia="es-ES"/>
        </w:rPr>
        <w:t>Sin perjuicio de cualquier otro informe mejor fundado en Derecho.</w:t>
      </w:r>
    </w:p>
    <w:sectPr w:rsidR="000E5451" w:rsidRPr="000E5451" w:rsidSect="005618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85ECC"/>
    <w:multiLevelType w:val="multilevel"/>
    <w:tmpl w:val="023AB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40BAB"/>
    <w:multiLevelType w:val="multilevel"/>
    <w:tmpl w:val="AA0A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1163F"/>
    <w:multiLevelType w:val="multilevel"/>
    <w:tmpl w:val="6376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055B6"/>
    <w:multiLevelType w:val="multilevel"/>
    <w:tmpl w:val="E42E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96C46"/>
    <w:multiLevelType w:val="multilevel"/>
    <w:tmpl w:val="F332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CF29FB"/>
    <w:multiLevelType w:val="multilevel"/>
    <w:tmpl w:val="5A38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4019B7"/>
    <w:multiLevelType w:val="multilevel"/>
    <w:tmpl w:val="50AE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D4814"/>
    <w:multiLevelType w:val="multilevel"/>
    <w:tmpl w:val="E064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676411"/>
    <w:multiLevelType w:val="multilevel"/>
    <w:tmpl w:val="5E14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414A5"/>
    <w:multiLevelType w:val="multilevel"/>
    <w:tmpl w:val="6150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2C673D"/>
    <w:multiLevelType w:val="multilevel"/>
    <w:tmpl w:val="CFFA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453290"/>
    <w:multiLevelType w:val="multilevel"/>
    <w:tmpl w:val="1C1A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777257"/>
    <w:multiLevelType w:val="multilevel"/>
    <w:tmpl w:val="7AC6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8F1C93"/>
    <w:multiLevelType w:val="multilevel"/>
    <w:tmpl w:val="BC325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CF204F"/>
    <w:multiLevelType w:val="multilevel"/>
    <w:tmpl w:val="70B6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E128EF"/>
    <w:multiLevelType w:val="multilevel"/>
    <w:tmpl w:val="119A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B46693"/>
    <w:multiLevelType w:val="multilevel"/>
    <w:tmpl w:val="C10C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831FA0"/>
    <w:multiLevelType w:val="multilevel"/>
    <w:tmpl w:val="EAD6D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F84BF2"/>
    <w:multiLevelType w:val="multilevel"/>
    <w:tmpl w:val="8BC23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737868">
    <w:abstractNumId w:val="17"/>
  </w:num>
  <w:num w:numId="2" w16cid:durableId="1966035211">
    <w:abstractNumId w:val="4"/>
  </w:num>
  <w:num w:numId="3" w16cid:durableId="1326011965">
    <w:abstractNumId w:val="14"/>
  </w:num>
  <w:num w:numId="4" w16cid:durableId="417555332">
    <w:abstractNumId w:val="11"/>
  </w:num>
  <w:num w:numId="5" w16cid:durableId="260991880">
    <w:abstractNumId w:val="9"/>
  </w:num>
  <w:num w:numId="6" w16cid:durableId="486019388">
    <w:abstractNumId w:val="3"/>
  </w:num>
  <w:num w:numId="7" w16cid:durableId="1816533701">
    <w:abstractNumId w:val="1"/>
  </w:num>
  <w:num w:numId="8" w16cid:durableId="608051285">
    <w:abstractNumId w:val="5"/>
  </w:num>
  <w:num w:numId="9" w16cid:durableId="140195416">
    <w:abstractNumId w:val="16"/>
  </w:num>
  <w:num w:numId="10" w16cid:durableId="304428617">
    <w:abstractNumId w:val="8"/>
  </w:num>
  <w:num w:numId="11" w16cid:durableId="1227375028">
    <w:abstractNumId w:val="12"/>
  </w:num>
  <w:num w:numId="12" w16cid:durableId="1559589394">
    <w:abstractNumId w:val="18"/>
  </w:num>
  <w:num w:numId="13" w16cid:durableId="1534153587">
    <w:abstractNumId w:val="2"/>
  </w:num>
  <w:num w:numId="14" w16cid:durableId="480345103">
    <w:abstractNumId w:val="6"/>
  </w:num>
  <w:num w:numId="15" w16cid:durableId="435489116">
    <w:abstractNumId w:val="13"/>
  </w:num>
  <w:num w:numId="16" w16cid:durableId="958417506">
    <w:abstractNumId w:val="0"/>
  </w:num>
  <w:num w:numId="17" w16cid:durableId="1439788052">
    <w:abstractNumId w:val="15"/>
  </w:num>
  <w:num w:numId="18" w16cid:durableId="5255960">
    <w:abstractNumId w:val="7"/>
  </w:num>
  <w:num w:numId="19" w16cid:durableId="18539592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884"/>
    <w:rsid w:val="00014E59"/>
    <w:rsid w:val="00037884"/>
    <w:rsid w:val="00065236"/>
    <w:rsid w:val="00082829"/>
    <w:rsid w:val="000E5451"/>
    <w:rsid w:val="000F7BC7"/>
    <w:rsid w:val="001F377F"/>
    <w:rsid w:val="00200D06"/>
    <w:rsid w:val="00322B9D"/>
    <w:rsid w:val="00406597"/>
    <w:rsid w:val="00424B71"/>
    <w:rsid w:val="004A229E"/>
    <w:rsid w:val="004E0848"/>
    <w:rsid w:val="00524E06"/>
    <w:rsid w:val="00561846"/>
    <w:rsid w:val="0059023A"/>
    <w:rsid w:val="005D6228"/>
    <w:rsid w:val="00692FA6"/>
    <w:rsid w:val="006B7218"/>
    <w:rsid w:val="007910AE"/>
    <w:rsid w:val="008461BF"/>
    <w:rsid w:val="0085364D"/>
    <w:rsid w:val="00910D11"/>
    <w:rsid w:val="00912F1E"/>
    <w:rsid w:val="009166AA"/>
    <w:rsid w:val="00952C38"/>
    <w:rsid w:val="00996F50"/>
    <w:rsid w:val="009A0A9F"/>
    <w:rsid w:val="009B20C6"/>
    <w:rsid w:val="009E4328"/>
    <w:rsid w:val="00A1269B"/>
    <w:rsid w:val="00A20C0F"/>
    <w:rsid w:val="00A221D0"/>
    <w:rsid w:val="00A22F5E"/>
    <w:rsid w:val="00A52422"/>
    <w:rsid w:val="00A5653A"/>
    <w:rsid w:val="00B17881"/>
    <w:rsid w:val="00BD3F86"/>
    <w:rsid w:val="00C03761"/>
    <w:rsid w:val="00C67864"/>
    <w:rsid w:val="00CC673B"/>
    <w:rsid w:val="00CE24DE"/>
    <w:rsid w:val="00CF3CD5"/>
    <w:rsid w:val="00CF537A"/>
    <w:rsid w:val="00D011D6"/>
    <w:rsid w:val="00D0164C"/>
    <w:rsid w:val="00D96A67"/>
    <w:rsid w:val="00DB42C2"/>
    <w:rsid w:val="00DC1364"/>
    <w:rsid w:val="00DD3DA7"/>
    <w:rsid w:val="00E72973"/>
    <w:rsid w:val="00EE07BD"/>
    <w:rsid w:val="00EF2BE0"/>
    <w:rsid w:val="00F255B2"/>
    <w:rsid w:val="00F3189C"/>
    <w:rsid w:val="00F65B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5B81"/>
  <w15:chartTrackingRefBased/>
  <w15:docId w15:val="{8D986FC9-79D3-40E5-B6D6-867055C89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884"/>
    <w:pPr>
      <w:spacing w:before="100" w:beforeAutospacing="1" w:after="100" w:afterAutospacing="1"/>
      <w:jc w:val="both"/>
    </w:pPr>
    <w:rPr>
      <w:sz w:val="22"/>
      <w:szCs w:val="22"/>
      <w:lang w:eastAsia="en-US"/>
    </w:rPr>
  </w:style>
  <w:style w:type="paragraph" w:styleId="Ttulo1">
    <w:name w:val="heading 1"/>
    <w:basedOn w:val="Normal"/>
    <w:link w:val="Ttulo1Car"/>
    <w:uiPriority w:val="9"/>
    <w:qFormat/>
    <w:rsid w:val="004A229E"/>
    <w:pPr>
      <w:jc w:val="left"/>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
    <w:semiHidden/>
    <w:unhideWhenUsed/>
    <w:qFormat/>
    <w:rsid w:val="000F7BC7"/>
    <w:pPr>
      <w:keepNext/>
      <w:spacing w:before="240" w:after="60"/>
      <w:outlineLvl w:val="1"/>
    </w:pPr>
    <w:rPr>
      <w:rFonts w:ascii="Calibri Light" w:eastAsia="Times New Roman" w:hAnsi="Calibri Light"/>
      <w:b/>
      <w:bCs/>
      <w:i/>
      <w:iCs/>
      <w:sz w:val="28"/>
      <w:szCs w:val="28"/>
    </w:rPr>
  </w:style>
  <w:style w:type="paragraph" w:styleId="Ttulo3">
    <w:name w:val="heading 3"/>
    <w:basedOn w:val="Normal"/>
    <w:next w:val="Normal"/>
    <w:link w:val="Ttulo3Car"/>
    <w:uiPriority w:val="9"/>
    <w:semiHidden/>
    <w:unhideWhenUsed/>
    <w:qFormat/>
    <w:rsid w:val="000F7BC7"/>
    <w:pPr>
      <w:keepNext/>
      <w:spacing w:before="240" w:after="60"/>
      <w:outlineLvl w:val="2"/>
    </w:pPr>
    <w:rPr>
      <w:rFonts w:ascii="Calibri Light" w:eastAsia="Times New Roman" w:hAnsi="Calibri Light"/>
      <w:b/>
      <w:bCs/>
      <w:sz w:val="26"/>
      <w:szCs w:val="26"/>
    </w:rPr>
  </w:style>
  <w:style w:type="paragraph" w:styleId="Ttulo5">
    <w:name w:val="heading 5"/>
    <w:basedOn w:val="Normal"/>
    <w:next w:val="Normal"/>
    <w:link w:val="Ttulo5Car"/>
    <w:uiPriority w:val="9"/>
    <w:semiHidden/>
    <w:unhideWhenUsed/>
    <w:qFormat/>
    <w:rsid w:val="00A22F5E"/>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14E59"/>
    <w:pPr>
      <w:jc w:val="left"/>
    </w:pPr>
    <w:rPr>
      <w:rFonts w:ascii="Times New Roman" w:eastAsia="Times New Roman" w:hAnsi="Times New Roman"/>
      <w:sz w:val="24"/>
      <w:szCs w:val="24"/>
      <w:lang w:eastAsia="es-ES"/>
    </w:rPr>
  </w:style>
  <w:style w:type="character" w:styleId="Textoennegrita">
    <w:name w:val="Strong"/>
    <w:uiPriority w:val="22"/>
    <w:qFormat/>
    <w:rsid w:val="00014E59"/>
    <w:rPr>
      <w:b/>
      <w:bCs/>
    </w:rPr>
  </w:style>
  <w:style w:type="character" w:styleId="nfasis">
    <w:name w:val="Emphasis"/>
    <w:uiPriority w:val="20"/>
    <w:qFormat/>
    <w:rsid w:val="00014E59"/>
    <w:rPr>
      <w:i/>
      <w:iCs/>
    </w:rPr>
  </w:style>
  <w:style w:type="character" w:customStyle="1" w:styleId="Ttulo1Car">
    <w:name w:val="Título 1 Car"/>
    <w:link w:val="Ttulo1"/>
    <w:uiPriority w:val="9"/>
    <w:rsid w:val="004A229E"/>
    <w:rPr>
      <w:rFonts w:ascii="Times New Roman" w:eastAsia="Times New Roman" w:hAnsi="Times New Roman"/>
      <w:b/>
      <w:bCs/>
      <w:kern w:val="36"/>
      <w:sz w:val="48"/>
      <w:szCs w:val="48"/>
    </w:rPr>
  </w:style>
  <w:style w:type="character" w:customStyle="1" w:styleId="at4-share-count-container">
    <w:name w:val="at4-share-count-container"/>
    <w:basedOn w:val="Fuentedeprrafopredeter"/>
    <w:rsid w:val="004A229E"/>
  </w:style>
  <w:style w:type="paragraph" w:customStyle="1" w:styleId="text-right">
    <w:name w:val="text-right"/>
    <w:basedOn w:val="Normal"/>
    <w:rsid w:val="004A229E"/>
    <w:pPr>
      <w:jc w:val="left"/>
    </w:pPr>
    <w:rPr>
      <w:rFonts w:ascii="Times New Roman" w:eastAsia="Times New Roman" w:hAnsi="Times New Roman"/>
      <w:sz w:val="24"/>
      <w:szCs w:val="24"/>
      <w:lang w:eastAsia="es-ES"/>
    </w:rPr>
  </w:style>
  <w:style w:type="character" w:customStyle="1" w:styleId="eta">
    <w:name w:val="eta"/>
    <w:basedOn w:val="Fuentedeprrafopredeter"/>
    <w:rsid w:val="004A229E"/>
  </w:style>
  <w:style w:type="character" w:styleId="Hipervnculo">
    <w:name w:val="Hyperlink"/>
    <w:uiPriority w:val="99"/>
    <w:semiHidden/>
    <w:unhideWhenUsed/>
    <w:rsid w:val="004A229E"/>
    <w:rPr>
      <w:color w:val="0000FF"/>
      <w:u w:val="single"/>
    </w:rPr>
  </w:style>
  <w:style w:type="paragraph" w:customStyle="1" w:styleId="active">
    <w:name w:val="active"/>
    <w:basedOn w:val="Normal"/>
    <w:rsid w:val="004A229E"/>
    <w:pPr>
      <w:jc w:val="left"/>
    </w:pPr>
    <w:rPr>
      <w:rFonts w:ascii="Times New Roman" w:eastAsia="Times New Roman" w:hAnsi="Times New Roman"/>
      <w:sz w:val="24"/>
      <w:szCs w:val="24"/>
      <w:lang w:eastAsia="es-ES"/>
    </w:rPr>
  </w:style>
  <w:style w:type="character" w:customStyle="1" w:styleId="rel-lateral-span-sentencias">
    <w:name w:val="rel-lateral-span-sentencias"/>
    <w:basedOn w:val="Fuentedeprrafopredeter"/>
    <w:rsid w:val="004A229E"/>
  </w:style>
  <w:style w:type="paragraph" w:customStyle="1" w:styleId="rel-lateral">
    <w:name w:val="rel-lateral"/>
    <w:basedOn w:val="Normal"/>
    <w:rsid w:val="004A229E"/>
    <w:pPr>
      <w:jc w:val="left"/>
    </w:pPr>
    <w:rPr>
      <w:rFonts w:ascii="Times New Roman" w:eastAsia="Times New Roman" w:hAnsi="Times New Roman"/>
      <w:sz w:val="24"/>
      <w:szCs w:val="24"/>
      <w:lang w:eastAsia="es-ES"/>
    </w:rPr>
  </w:style>
  <w:style w:type="character" w:customStyle="1" w:styleId="rel-lateral-span-formularios">
    <w:name w:val="rel-lateral-span-formularios"/>
    <w:basedOn w:val="Fuentedeprrafopredeter"/>
    <w:rsid w:val="004A229E"/>
  </w:style>
  <w:style w:type="character" w:customStyle="1" w:styleId="rel-lateral-span-comentarios">
    <w:name w:val="rel-lateral-span-comentarios"/>
    <w:basedOn w:val="Fuentedeprrafopredeter"/>
    <w:rsid w:val="004A229E"/>
  </w:style>
  <w:style w:type="character" w:customStyle="1" w:styleId="rel-lateral-span-casos">
    <w:name w:val="rel-lateral-span-casos"/>
    <w:basedOn w:val="Fuentedeprrafopredeter"/>
    <w:rsid w:val="004A229E"/>
  </w:style>
  <w:style w:type="character" w:customStyle="1" w:styleId="rel-lateral-span-resoluciones">
    <w:name w:val="rel-lateral-span-resoluciones"/>
    <w:basedOn w:val="Fuentedeprrafopredeter"/>
    <w:rsid w:val="004A229E"/>
  </w:style>
  <w:style w:type="character" w:customStyle="1" w:styleId="span-h5">
    <w:name w:val="span-h5"/>
    <w:basedOn w:val="Fuentedeprrafopredeter"/>
    <w:rsid w:val="004A229E"/>
  </w:style>
  <w:style w:type="character" w:customStyle="1" w:styleId="Ttulo2Car">
    <w:name w:val="Título 2 Car"/>
    <w:link w:val="Ttulo2"/>
    <w:uiPriority w:val="9"/>
    <w:semiHidden/>
    <w:rsid w:val="000F7BC7"/>
    <w:rPr>
      <w:rFonts w:ascii="Calibri Light" w:eastAsia="Times New Roman" w:hAnsi="Calibri Light" w:cs="Times New Roman"/>
      <w:b/>
      <w:bCs/>
      <w:i/>
      <w:iCs/>
      <w:sz w:val="28"/>
      <w:szCs w:val="28"/>
      <w:lang w:eastAsia="en-US"/>
    </w:rPr>
  </w:style>
  <w:style w:type="character" w:customStyle="1" w:styleId="Ttulo3Car">
    <w:name w:val="Título 3 Car"/>
    <w:link w:val="Ttulo3"/>
    <w:uiPriority w:val="9"/>
    <w:semiHidden/>
    <w:rsid w:val="000F7BC7"/>
    <w:rPr>
      <w:rFonts w:ascii="Calibri Light" w:eastAsia="Times New Roman" w:hAnsi="Calibri Light" w:cs="Times New Roman"/>
      <w:b/>
      <w:bCs/>
      <w:sz w:val="26"/>
      <w:szCs w:val="26"/>
      <w:lang w:eastAsia="en-US"/>
    </w:rPr>
  </w:style>
  <w:style w:type="paragraph" w:customStyle="1" w:styleId="parrafo">
    <w:name w:val="parrafo"/>
    <w:basedOn w:val="Normal"/>
    <w:rsid w:val="00F3189C"/>
    <w:pPr>
      <w:jc w:val="left"/>
    </w:pPr>
    <w:rPr>
      <w:rFonts w:ascii="Times New Roman" w:eastAsia="Times New Roman" w:hAnsi="Times New Roman"/>
      <w:sz w:val="24"/>
      <w:szCs w:val="24"/>
      <w:lang w:eastAsia="es-ES"/>
    </w:rPr>
  </w:style>
  <w:style w:type="paragraph" w:customStyle="1" w:styleId="parrafo2">
    <w:name w:val="parrafo_2"/>
    <w:basedOn w:val="Normal"/>
    <w:rsid w:val="00F3189C"/>
    <w:pPr>
      <w:jc w:val="left"/>
    </w:pPr>
    <w:rPr>
      <w:rFonts w:ascii="Times New Roman" w:eastAsia="Times New Roman" w:hAnsi="Times New Roman"/>
      <w:sz w:val="24"/>
      <w:szCs w:val="24"/>
      <w:lang w:eastAsia="es-ES"/>
    </w:rPr>
  </w:style>
  <w:style w:type="character" w:customStyle="1" w:styleId="Ttulo5Car">
    <w:name w:val="Título 5 Car"/>
    <w:link w:val="Ttulo5"/>
    <w:uiPriority w:val="9"/>
    <w:semiHidden/>
    <w:rsid w:val="00A22F5E"/>
    <w:rPr>
      <w:rFonts w:ascii="Calibri" w:eastAsia="Times New Roman" w:hAnsi="Calibri" w:cs="Times New Roman"/>
      <w:b/>
      <w:bCs/>
      <w:i/>
      <w:iCs/>
      <w:sz w:val="26"/>
      <w:szCs w:val="26"/>
      <w:lang w:eastAsia="en-US"/>
    </w:rPr>
  </w:style>
  <w:style w:type="paragraph" w:customStyle="1" w:styleId="d1">
    <w:name w:val="d1"/>
    <w:basedOn w:val="Normal"/>
    <w:rsid w:val="00DC1364"/>
    <w:pPr>
      <w:jc w:val="left"/>
    </w:pPr>
    <w:rPr>
      <w:rFonts w:ascii="Times New Roman" w:eastAsia="Times New Roman" w:hAnsi="Times New Roman"/>
      <w:sz w:val="24"/>
      <w:szCs w:val="24"/>
      <w:lang w:eastAsia="es-ES"/>
    </w:rPr>
  </w:style>
  <w:style w:type="paragraph" w:customStyle="1" w:styleId="scendingmessage">
    <w:name w:val="sc_ending_message"/>
    <w:basedOn w:val="Normal"/>
    <w:rsid w:val="00DC1364"/>
    <w:pPr>
      <w:jc w:val="left"/>
    </w:pPr>
    <w:rPr>
      <w:rFonts w:ascii="Times New Roman" w:eastAsia="Times New Roman" w:hAnsi="Times New Roman"/>
      <w:sz w:val="24"/>
      <w:szCs w:val="24"/>
      <w:lang w:eastAsia="es-ES"/>
    </w:rPr>
  </w:style>
  <w:style w:type="character" w:customStyle="1" w:styleId="Ttulo10">
    <w:name w:val="Título1"/>
    <w:basedOn w:val="Fuentedeprrafopredeter"/>
    <w:rsid w:val="00DC1364"/>
  </w:style>
  <w:style w:type="character" w:customStyle="1" w:styleId="prodbutton">
    <w:name w:val="prodbutton"/>
    <w:basedOn w:val="Fuentedeprrafopredeter"/>
    <w:rsid w:val="00DC1364"/>
  </w:style>
  <w:style w:type="character" w:customStyle="1" w:styleId="author">
    <w:name w:val="author"/>
    <w:basedOn w:val="Fuentedeprrafopredeter"/>
    <w:rsid w:val="00DC1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5435">
      <w:bodyDiv w:val="1"/>
      <w:marLeft w:val="0"/>
      <w:marRight w:val="0"/>
      <w:marTop w:val="0"/>
      <w:marBottom w:val="0"/>
      <w:divBdr>
        <w:top w:val="none" w:sz="0" w:space="0" w:color="auto"/>
        <w:left w:val="none" w:sz="0" w:space="0" w:color="auto"/>
        <w:bottom w:val="none" w:sz="0" w:space="0" w:color="auto"/>
        <w:right w:val="none" w:sz="0" w:space="0" w:color="auto"/>
      </w:divBdr>
      <w:divsChild>
        <w:div w:id="764302005">
          <w:marLeft w:val="0"/>
          <w:marRight w:val="0"/>
          <w:marTop w:val="450"/>
          <w:marBottom w:val="0"/>
          <w:divBdr>
            <w:top w:val="none" w:sz="0" w:space="0" w:color="auto"/>
            <w:left w:val="none" w:sz="0" w:space="0" w:color="auto"/>
            <w:bottom w:val="none" w:sz="0" w:space="0" w:color="auto"/>
            <w:right w:val="none" w:sz="0" w:space="0" w:color="auto"/>
          </w:divBdr>
        </w:div>
        <w:div w:id="941302042">
          <w:marLeft w:val="0"/>
          <w:marRight w:val="0"/>
          <w:marTop w:val="675"/>
          <w:marBottom w:val="0"/>
          <w:divBdr>
            <w:top w:val="none" w:sz="0" w:space="0" w:color="auto"/>
            <w:left w:val="none" w:sz="0" w:space="0" w:color="auto"/>
            <w:bottom w:val="none" w:sz="0" w:space="0" w:color="auto"/>
            <w:right w:val="none" w:sz="0" w:space="0" w:color="auto"/>
          </w:divBdr>
        </w:div>
        <w:div w:id="1656454281">
          <w:marLeft w:val="0"/>
          <w:marRight w:val="0"/>
          <w:marTop w:val="120"/>
          <w:marBottom w:val="0"/>
          <w:divBdr>
            <w:top w:val="none" w:sz="0" w:space="0" w:color="auto"/>
            <w:left w:val="none" w:sz="0" w:space="0" w:color="auto"/>
            <w:bottom w:val="none" w:sz="0" w:space="0" w:color="auto"/>
            <w:right w:val="none" w:sz="0" w:space="0" w:color="auto"/>
          </w:divBdr>
          <w:divsChild>
            <w:div w:id="926036000">
              <w:marLeft w:val="0"/>
              <w:marRight w:val="0"/>
              <w:marTop w:val="0"/>
              <w:marBottom w:val="0"/>
              <w:divBdr>
                <w:top w:val="none" w:sz="0" w:space="0" w:color="auto"/>
                <w:left w:val="none" w:sz="0" w:space="0" w:color="auto"/>
                <w:bottom w:val="none" w:sz="0" w:space="0" w:color="auto"/>
                <w:right w:val="none" w:sz="0" w:space="0" w:color="auto"/>
              </w:divBdr>
              <w:divsChild>
                <w:div w:id="2838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6639">
      <w:bodyDiv w:val="1"/>
      <w:marLeft w:val="0"/>
      <w:marRight w:val="0"/>
      <w:marTop w:val="0"/>
      <w:marBottom w:val="0"/>
      <w:divBdr>
        <w:top w:val="none" w:sz="0" w:space="0" w:color="auto"/>
        <w:left w:val="none" w:sz="0" w:space="0" w:color="auto"/>
        <w:bottom w:val="none" w:sz="0" w:space="0" w:color="auto"/>
        <w:right w:val="none" w:sz="0" w:space="0" w:color="auto"/>
      </w:divBdr>
      <w:divsChild>
        <w:div w:id="332268445">
          <w:marLeft w:val="0"/>
          <w:marRight w:val="0"/>
          <w:marTop w:val="0"/>
          <w:marBottom w:val="0"/>
          <w:divBdr>
            <w:top w:val="none" w:sz="0" w:space="0" w:color="auto"/>
            <w:left w:val="none" w:sz="0" w:space="0" w:color="auto"/>
            <w:bottom w:val="none" w:sz="0" w:space="0" w:color="auto"/>
            <w:right w:val="none" w:sz="0" w:space="0" w:color="auto"/>
          </w:divBdr>
          <w:divsChild>
            <w:div w:id="2086994377">
              <w:marLeft w:val="0"/>
              <w:marRight w:val="0"/>
              <w:marTop w:val="0"/>
              <w:marBottom w:val="0"/>
              <w:divBdr>
                <w:top w:val="none" w:sz="0" w:space="0" w:color="auto"/>
                <w:left w:val="none" w:sz="0" w:space="0" w:color="auto"/>
                <w:bottom w:val="none" w:sz="0" w:space="0" w:color="auto"/>
                <w:right w:val="none" w:sz="0" w:space="0" w:color="auto"/>
              </w:divBdr>
              <w:divsChild>
                <w:div w:id="20024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17158">
          <w:marLeft w:val="0"/>
          <w:marRight w:val="0"/>
          <w:marTop w:val="450"/>
          <w:marBottom w:val="450"/>
          <w:divBdr>
            <w:top w:val="none" w:sz="0" w:space="0" w:color="auto"/>
            <w:left w:val="none" w:sz="0" w:space="0" w:color="auto"/>
            <w:bottom w:val="none" w:sz="0" w:space="0" w:color="auto"/>
            <w:right w:val="none" w:sz="0" w:space="0" w:color="auto"/>
          </w:divBdr>
          <w:divsChild>
            <w:div w:id="1096747536">
              <w:marLeft w:val="0"/>
              <w:marRight w:val="0"/>
              <w:marTop w:val="0"/>
              <w:marBottom w:val="0"/>
              <w:divBdr>
                <w:top w:val="none" w:sz="0" w:space="0" w:color="auto"/>
                <w:left w:val="none" w:sz="0" w:space="0" w:color="auto"/>
                <w:bottom w:val="none" w:sz="0" w:space="0" w:color="auto"/>
                <w:right w:val="none" w:sz="0" w:space="0" w:color="auto"/>
              </w:divBdr>
            </w:div>
          </w:divsChild>
        </w:div>
        <w:div w:id="1508867899">
          <w:marLeft w:val="0"/>
          <w:marRight w:val="0"/>
          <w:marTop w:val="180"/>
          <w:marBottom w:val="0"/>
          <w:divBdr>
            <w:top w:val="none" w:sz="0" w:space="0" w:color="auto"/>
            <w:left w:val="none" w:sz="0" w:space="0" w:color="auto"/>
            <w:bottom w:val="none" w:sz="0" w:space="0" w:color="auto"/>
            <w:right w:val="none" w:sz="0" w:space="0" w:color="auto"/>
          </w:divBdr>
        </w:div>
      </w:divsChild>
    </w:div>
    <w:div w:id="339813749">
      <w:bodyDiv w:val="1"/>
      <w:marLeft w:val="0"/>
      <w:marRight w:val="0"/>
      <w:marTop w:val="0"/>
      <w:marBottom w:val="0"/>
      <w:divBdr>
        <w:top w:val="none" w:sz="0" w:space="0" w:color="auto"/>
        <w:left w:val="none" w:sz="0" w:space="0" w:color="auto"/>
        <w:bottom w:val="none" w:sz="0" w:space="0" w:color="auto"/>
        <w:right w:val="none" w:sz="0" w:space="0" w:color="auto"/>
      </w:divBdr>
      <w:divsChild>
        <w:div w:id="374743927">
          <w:blockQuote w:val="1"/>
          <w:marLeft w:val="720"/>
          <w:marRight w:val="720"/>
          <w:marTop w:val="100"/>
          <w:marBottom w:val="100"/>
          <w:divBdr>
            <w:top w:val="none" w:sz="0" w:space="0" w:color="auto"/>
            <w:left w:val="single" w:sz="24" w:space="0" w:color="CCCCCC"/>
            <w:bottom w:val="none" w:sz="0" w:space="0" w:color="auto"/>
            <w:right w:val="none" w:sz="0" w:space="0" w:color="auto"/>
          </w:divBdr>
        </w:div>
        <w:div w:id="750780840">
          <w:blockQuote w:val="1"/>
          <w:marLeft w:val="720"/>
          <w:marRight w:val="720"/>
          <w:marTop w:val="100"/>
          <w:marBottom w:val="100"/>
          <w:divBdr>
            <w:top w:val="none" w:sz="0" w:space="0" w:color="auto"/>
            <w:left w:val="single" w:sz="24" w:space="0" w:color="CCCCCC"/>
            <w:bottom w:val="none" w:sz="0" w:space="0" w:color="auto"/>
            <w:right w:val="none" w:sz="0" w:space="0" w:color="auto"/>
          </w:divBdr>
        </w:div>
      </w:divsChild>
    </w:div>
    <w:div w:id="475798205">
      <w:bodyDiv w:val="1"/>
      <w:marLeft w:val="0"/>
      <w:marRight w:val="0"/>
      <w:marTop w:val="0"/>
      <w:marBottom w:val="0"/>
      <w:divBdr>
        <w:top w:val="none" w:sz="0" w:space="0" w:color="auto"/>
        <w:left w:val="none" w:sz="0" w:space="0" w:color="auto"/>
        <w:bottom w:val="none" w:sz="0" w:space="0" w:color="auto"/>
        <w:right w:val="none" w:sz="0" w:space="0" w:color="auto"/>
      </w:divBdr>
    </w:div>
    <w:div w:id="627707550">
      <w:bodyDiv w:val="1"/>
      <w:marLeft w:val="0"/>
      <w:marRight w:val="0"/>
      <w:marTop w:val="0"/>
      <w:marBottom w:val="0"/>
      <w:divBdr>
        <w:top w:val="none" w:sz="0" w:space="0" w:color="auto"/>
        <w:left w:val="none" w:sz="0" w:space="0" w:color="auto"/>
        <w:bottom w:val="none" w:sz="0" w:space="0" w:color="auto"/>
        <w:right w:val="none" w:sz="0" w:space="0" w:color="auto"/>
      </w:divBdr>
      <w:divsChild>
        <w:div w:id="365715068">
          <w:marLeft w:val="-225"/>
          <w:marRight w:val="-225"/>
          <w:marTop w:val="300"/>
          <w:marBottom w:val="0"/>
          <w:divBdr>
            <w:top w:val="none" w:sz="0" w:space="0" w:color="auto"/>
            <w:left w:val="none" w:sz="0" w:space="0" w:color="auto"/>
            <w:bottom w:val="none" w:sz="0" w:space="0" w:color="auto"/>
            <w:right w:val="none" w:sz="0" w:space="0" w:color="auto"/>
          </w:divBdr>
          <w:divsChild>
            <w:div w:id="330723840">
              <w:marLeft w:val="-225"/>
              <w:marRight w:val="-225"/>
              <w:marTop w:val="0"/>
              <w:marBottom w:val="0"/>
              <w:divBdr>
                <w:top w:val="none" w:sz="0" w:space="0" w:color="auto"/>
                <w:left w:val="none" w:sz="0" w:space="0" w:color="auto"/>
                <w:bottom w:val="none" w:sz="0" w:space="0" w:color="auto"/>
                <w:right w:val="none" w:sz="0" w:space="0" w:color="auto"/>
              </w:divBdr>
              <w:divsChild>
                <w:div w:id="680740853">
                  <w:marLeft w:val="0"/>
                  <w:marRight w:val="0"/>
                  <w:marTop w:val="0"/>
                  <w:marBottom w:val="0"/>
                  <w:divBdr>
                    <w:top w:val="none" w:sz="0" w:space="0" w:color="auto"/>
                    <w:left w:val="none" w:sz="0" w:space="0" w:color="auto"/>
                    <w:bottom w:val="none" w:sz="0" w:space="0" w:color="auto"/>
                    <w:right w:val="none" w:sz="0" w:space="0" w:color="auto"/>
                  </w:divBdr>
                  <w:divsChild>
                    <w:div w:id="1872457213">
                      <w:marLeft w:val="0"/>
                      <w:marRight w:val="0"/>
                      <w:marTop w:val="0"/>
                      <w:marBottom w:val="0"/>
                      <w:divBdr>
                        <w:top w:val="none" w:sz="0" w:space="0" w:color="auto"/>
                        <w:left w:val="none" w:sz="0" w:space="0" w:color="auto"/>
                        <w:bottom w:val="none" w:sz="0" w:space="0" w:color="auto"/>
                        <w:right w:val="none" w:sz="0" w:space="0" w:color="auto"/>
                      </w:divBdr>
                      <w:divsChild>
                        <w:div w:id="427119026">
                          <w:marLeft w:val="0"/>
                          <w:marRight w:val="0"/>
                          <w:marTop w:val="0"/>
                          <w:marBottom w:val="0"/>
                          <w:divBdr>
                            <w:top w:val="none" w:sz="0" w:space="0" w:color="auto"/>
                            <w:left w:val="none" w:sz="0" w:space="0" w:color="auto"/>
                            <w:bottom w:val="none" w:sz="0" w:space="0" w:color="auto"/>
                            <w:right w:val="none" w:sz="0" w:space="0" w:color="auto"/>
                          </w:divBdr>
                          <w:divsChild>
                            <w:div w:id="1299608581">
                              <w:marLeft w:val="0"/>
                              <w:marRight w:val="0"/>
                              <w:marTop w:val="0"/>
                              <w:marBottom w:val="0"/>
                              <w:divBdr>
                                <w:top w:val="none" w:sz="0" w:space="0" w:color="auto"/>
                                <w:left w:val="none" w:sz="0" w:space="0" w:color="auto"/>
                                <w:bottom w:val="none" w:sz="0" w:space="0" w:color="auto"/>
                                <w:right w:val="none" w:sz="0" w:space="0" w:color="auto"/>
                              </w:divBdr>
                            </w:div>
                          </w:divsChild>
                        </w:div>
                        <w:div w:id="525483755">
                          <w:marLeft w:val="0"/>
                          <w:marRight w:val="0"/>
                          <w:marTop w:val="0"/>
                          <w:marBottom w:val="0"/>
                          <w:divBdr>
                            <w:top w:val="none" w:sz="0" w:space="0" w:color="auto"/>
                            <w:left w:val="none" w:sz="0" w:space="0" w:color="auto"/>
                            <w:bottom w:val="none" w:sz="0" w:space="0" w:color="auto"/>
                            <w:right w:val="none" w:sz="0" w:space="0" w:color="auto"/>
                          </w:divBdr>
                        </w:div>
                        <w:div w:id="761801837">
                          <w:marLeft w:val="0"/>
                          <w:marRight w:val="0"/>
                          <w:marTop w:val="0"/>
                          <w:marBottom w:val="0"/>
                          <w:divBdr>
                            <w:top w:val="none" w:sz="0" w:space="0" w:color="auto"/>
                            <w:left w:val="none" w:sz="0" w:space="0" w:color="auto"/>
                            <w:bottom w:val="none" w:sz="0" w:space="0" w:color="auto"/>
                            <w:right w:val="none" w:sz="0" w:space="0" w:color="auto"/>
                          </w:divBdr>
                          <w:divsChild>
                            <w:div w:id="378479401">
                              <w:marLeft w:val="-225"/>
                              <w:marRight w:val="-225"/>
                              <w:marTop w:val="0"/>
                              <w:marBottom w:val="0"/>
                              <w:divBdr>
                                <w:top w:val="none" w:sz="0" w:space="0" w:color="auto"/>
                                <w:left w:val="none" w:sz="0" w:space="0" w:color="auto"/>
                                <w:bottom w:val="none" w:sz="0" w:space="0" w:color="auto"/>
                                <w:right w:val="none" w:sz="0" w:space="0" w:color="auto"/>
                              </w:divBdr>
                              <w:divsChild>
                                <w:div w:id="659816930">
                                  <w:marLeft w:val="0"/>
                                  <w:marRight w:val="0"/>
                                  <w:marTop w:val="0"/>
                                  <w:marBottom w:val="0"/>
                                  <w:divBdr>
                                    <w:top w:val="none" w:sz="0" w:space="0" w:color="auto"/>
                                    <w:left w:val="none" w:sz="0" w:space="0" w:color="auto"/>
                                    <w:bottom w:val="none" w:sz="0" w:space="0" w:color="auto"/>
                                    <w:right w:val="none" w:sz="0" w:space="0" w:color="auto"/>
                                  </w:divBdr>
                                </w:div>
                                <w:div w:id="1170024121">
                                  <w:marLeft w:val="0"/>
                                  <w:marRight w:val="0"/>
                                  <w:marTop w:val="0"/>
                                  <w:marBottom w:val="0"/>
                                  <w:divBdr>
                                    <w:top w:val="none" w:sz="0" w:space="0" w:color="auto"/>
                                    <w:left w:val="none" w:sz="0" w:space="0" w:color="auto"/>
                                    <w:bottom w:val="none" w:sz="0" w:space="0" w:color="auto"/>
                                    <w:right w:val="none" w:sz="0" w:space="0" w:color="auto"/>
                                  </w:divBdr>
                                </w:div>
                              </w:divsChild>
                            </w:div>
                            <w:div w:id="1049918319">
                              <w:marLeft w:val="0"/>
                              <w:marRight w:val="0"/>
                              <w:marTop w:val="0"/>
                              <w:marBottom w:val="300"/>
                              <w:divBdr>
                                <w:top w:val="none" w:sz="0" w:space="0" w:color="auto"/>
                                <w:left w:val="none" w:sz="0" w:space="0" w:color="auto"/>
                                <w:bottom w:val="single" w:sz="12" w:space="0" w:color="D6D6D6"/>
                                <w:right w:val="none" w:sz="0" w:space="0" w:color="auto"/>
                              </w:divBdr>
                            </w:div>
                            <w:div w:id="1503545974">
                              <w:marLeft w:val="-225"/>
                              <w:marRight w:val="-225"/>
                              <w:marTop w:val="0"/>
                              <w:marBottom w:val="0"/>
                              <w:divBdr>
                                <w:top w:val="none" w:sz="0" w:space="0" w:color="auto"/>
                                <w:left w:val="none" w:sz="0" w:space="0" w:color="auto"/>
                                <w:bottom w:val="none" w:sz="0" w:space="0" w:color="auto"/>
                                <w:right w:val="none" w:sz="0" w:space="0" w:color="auto"/>
                              </w:divBdr>
                              <w:divsChild>
                                <w:div w:id="443378514">
                                  <w:marLeft w:val="0"/>
                                  <w:marRight w:val="0"/>
                                  <w:marTop w:val="0"/>
                                  <w:marBottom w:val="0"/>
                                  <w:divBdr>
                                    <w:top w:val="none" w:sz="0" w:space="0" w:color="auto"/>
                                    <w:left w:val="none" w:sz="0" w:space="0" w:color="auto"/>
                                    <w:bottom w:val="none" w:sz="0" w:space="0" w:color="auto"/>
                                    <w:right w:val="none" w:sz="0" w:space="0" w:color="auto"/>
                                  </w:divBdr>
                                </w:div>
                                <w:div w:id="1562398539">
                                  <w:marLeft w:val="0"/>
                                  <w:marRight w:val="0"/>
                                  <w:marTop w:val="0"/>
                                  <w:marBottom w:val="0"/>
                                  <w:divBdr>
                                    <w:top w:val="none" w:sz="0" w:space="0" w:color="auto"/>
                                    <w:left w:val="none" w:sz="0" w:space="0" w:color="auto"/>
                                    <w:bottom w:val="none" w:sz="0" w:space="0" w:color="auto"/>
                                    <w:right w:val="none" w:sz="0" w:space="0" w:color="auto"/>
                                  </w:divBdr>
                                </w:div>
                              </w:divsChild>
                            </w:div>
                            <w:div w:id="1826894786">
                              <w:marLeft w:val="-225"/>
                              <w:marRight w:val="-225"/>
                              <w:marTop w:val="0"/>
                              <w:marBottom w:val="0"/>
                              <w:divBdr>
                                <w:top w:val="none" w:sz="0" w:space="0" w:color="auto"/>
                                <w:left w:val="none" w:sz="0" w:space="0" w:color="auto"/>
                                <w:bottom w:val="none" w:sz="0" w:space="0" w:color="auto"/>
                                <w:right w:val="none" w:sz="0" w:space="0" w:color="auto"/>
                              </w:divBdr>
                              <w:divsChild>
                                <w:div w:id="1281062873">
                                  <w:marLeft w:val="0"/>
                                  <w:marRight w:val="0"/>
                                  <w:marTop w:val="0"/>
                                  <w:marBottom w:val="0"/>
                                  <w:divBdr>
                                    <w:top w:val="none" w:sz="0" w:space="0" w:color="auto"/>
                                    <w:left w:val="none" w:sz="0" w:space="0" w:color="auto"/>
                                    <w:bottom w:val="none" w:sz="0" w:space="0" w:color="auto"/>
                                    <w:right w:val="none" w:sz="0" w:space="0" w:color="auto"/>
                                  </w:divBdr>
                                </w:div>
                                <w:div w:id="131341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777899">
                          <w:marLeft w:val="0"/>
                          <w:marRight w:val="0"/>
                          <w:marTop w:val="0"/>
                          <w:marBottom w:val="300"/>
                          <w:divBdr>
                            <w:top w:val="none" w:sz="0" w:space="0" w:color="auto"/>
                            <w:left w:val="none" w:sz="0" w:space="0" w:color="auto"/>
                            <w:bottom w:val="single" w:sz="12" w:space="0" w:color="D6D6D6"/>
                            <w:right w:val="none" w:sz="0" w:space="0" w:color="auto"/>
                          </w:divBdr>
                        </w:div>
                      </w:divsChild>
                    </w:div>
                  </w:divsChild>
                </w:div>
                <w:div w:id="1774008697">
                  <w:marLeft w:val="0"/>
                  <w:marRight w:val="0"/>
                  <w:marTop w:val="0"/>
                  <w:marBottom w:val="0"/>
                  <w:divBdr>
                    <w:top w:val="none" w:sz="0" w:space="0" w:color="auto"/>
                    <w:left w:val="none" w:sz="0" w:space="0" w:color="auto"/>
                    <w:bottom w:val="none" w:sz="0" w:space="0" w:color="auto"/>
                    <w:right w:val="none" w:sz="0" w:space="0" w:color="auto"/>
                  </w:divBdr>
                  <w:divsChild>
                    <w:div w:id="1648709026">
                      <w:marLeft w:val="0"/>
                      <w:marRight w:val="0"/>
                      <w:marTop w:val="0"/>
                      <w:marBottom w:val="0"/>
                      <w:divBdr>
                        <w:top w:val="none" w:sz="0" w:space="0" w:color="auto"/>
                        <w:left w:val="none" w:sz="0" w:space="0" w:color="auto"/>
                        <w:bottom w:val="none" w:sz="0" w:space="0" w:color="auto"/>
                        <w:right w:val="none" w:sz="0" w:space="0" w:color="auto"/>
                      </w:divBdr>
                    </w:div>
                    <w:div w:id="1720474426">
                      <w:marLeft w:val="0"/>
                      <w:marRight w:val="0"/>
                      <w:marTop w:val="0"/>
                      <w:marBottom w:val="0"/>
                      <w:divBdr>
                        <w:top w:val="none" w:sz="0" w:space="0" w:color="auto"/>
                        <w:left w:val="none" w:sz="0" w:space="0" w:color="auto"/>
                        <w:bottom w:val="none" w:sz="0" w:space="0" w:color="auto"/>
                        <w:right w:val="none" w:sz="0" w:space="0" w:color="auto"/>
                      </w:divBdr>
                      <w:divsChild>
                        <w:div w:id="828596624">
                          <w:marLeft w:val="0"/>
                          <w:marRight w:val="0"/>
                          <w:marTop w:val="0"/>
                          <w:marBottom w:val="0"/>
                          <w:divBdr>
                            <w:top w:val="none" w:sz="0" w:space="0" w:color="auto"/>
                            <w:left w:val="none" w:sz="0" w:space="0" w:color="auto"/>
                            <w:bottom w:val="none" w:sz="0" w:space="0" w:color="auto"/>
                            <w:right w:val="none" w:sz="0" w:space="0" w:color="auto"/>
                          </w:divBdr>
                          <w:divsChild>
                            <w:div w:id="1125587654">
                              <w:marLeft w:val="0"/>
                              <w:marRight w:val="0"/>
                              <w:marTop w:val="0"/>
                              <w:marBottom w:val="0"/>
                              <w:divBdr>
                                <w:top w:val="none" w:sz="0" w:space="0" w:color="auto"/>
                                <w:left w:val="none" w:sz="0" w:space="0" w:color="auto"/>
                                <w:bottom w:val="none" w:sz="0" w:space="0" w:color="auto"/>
                                <w:right w:val="none" w:sz="0" w:space="0" w:color="auto"/>
                              </w:divBdr>
                              <w:divsChild>
                                <w:div w:id="113139233">
                                  <w:marLeft w:val="0"/>
                                  <w:marRight w:val="0"/>
                                  <w:marTop w:val="0"/>
                                  <w:marBottom w:val="0"/>
                                  <w:divBdr>
                                    <w:top w:val="none" w:sz="0" w:space="0" w:color="auto"/>
                                    <w:left w:val="none" w:sz="0" w:space="0" w:color="auto"/>
                                    <w:bottom w:val="none" w:sz="0" w:space="0" w:color="auto"/>
                                    <w:right w:val="none" w:sz="0" w:space="0" w:color="auto"/>
                                  </w:divBdr>
                                  <w:divsChild>
                                    <w:div w:id="741948263">
                                      <w:marLeft w:val="0"/>
                                      <w:marRight w:val="0"/>
                                      <w:marTop w:val="0"/>
                                      <w:marBottom w:val="0"/>
                                      <w:divBdr>
                                        <w:top w:val="none" w:sz="0" w:space="0" w:color="auto"/>
                                        <w:left w:val="none" w:sz="0" w:space="0" w:color="auto"/>
                                        <w:bottom w:val="none" w:sz="0" w:space="0" w:color="auto"/>
                                        <w:right w:val="none" w:sz="0" w:space="0" w:color="auto"/>
                                      </w:divBdr>
                                      <w:divsChild>
                                        <w:div w:id="1611666855">
                                          <w:marLeft w:val="0"/>
                                          <w:marRight w:val="0"/>
                                          <w:marTop w:val="0"/>
                                          <w:marBottom w:val="150"/>
                                          <w:divBdr>
                                            <w:top w:val="none" w:sz="0" w:space="0" w:color="auto"/>
                                            <w:left w:val="single" w:sz="12" w:space="19" w:color="A52A25"/>
                                            <w:bottom w:val="none" w:sz="0" w:space="0" w:color="auto"/>
                                            <w:right w:val="none" w:sz="0" w:space="0" w:color="auto"/>
                                          </w:divBdr>
                                        </w:div>
                                      </w:divsChild>
                                    </w:div>
                                  </w:divsChild>
                                </w:div>
                              </w:divsChild>
                            </w:div>
                          </w:divsChild>
                        </w:div>
                      </w:divsChild>
                    </w:div>
                  </w:divsChild>
                </w:div>
              </w:divsChild>
            </w:div>
            <w:div w:id="790249897">
              <w:marLeft w:val="-225"/>
              <w:marRight w:val="-225"/>
              <w:marTop w:val="0"/>
              <w:marBottom w:val="0"/>
              <w:divBdr>
                <w:top w:val="none" w:sz="0" w:space="0" w:color="auto"/>
                <w:left w:val="none" w:sz="0" w:space="0" w:color="auto"/>
                <w:bottom w:val="none" w:sz="0" w:space="0" w:color="auto"/>
                <w:right w:val="none" w:sz="0" w:space="0" w:color="auto"/>
              </w:divBdr>
              <w:divsChild>
                <w:div w:id="1111390339">
                  <w:marLeft w:val="0"/>
                  <w:marRight w:val="0"/>
                  <w:marTop w:val="0"/>
                  <w:marBottom w:val="0"/>
                  <w:divBdr>
                    <w:top w:val="none" w:sz="0" w:space="0" w:color="auto"/>
                    <w:left w:val="none" w:sz="0" w:space="0" w:color="auto"/>
                    <w:bottom w:val="none" w:sz="0" w:space="0" w:color="auto"/>
                    <w:right w:val="none" w:sz="0" w:space="0" w:color="auto"/>
                  </w:divBdr>
                  <w:divsChild>
                    <w:div w:id="1201474015">
                      <w:marLeft w:val="0"/>
                      <w:marRight w:val="0"/>
                      <w:marTop w:val="0"/>
                      <w:marBottom w:val="0"/>
                      <w:divBdr>
                        <w:top w:val="none" w:sz="0" w:space="0" w:color="auto"/>
                        <w:left w:val="none" w:sz="0" w:space="0" w:color="auto"/>
                        <w:bottom w:val="none" w:sz="0" w:space="0" w:color="auto"/>
                        <w:right w:val="none" w:sz="0" w:space="0" w:color="auto"/>
                      </w:divBdr>
                      <w:divsChild>
                        <w:div w:id="320961043">
                          <w:marLeft w:val="0"/>
                          <w:marRight w:val="0"/>
                          <w:marTop w:val="0"/>
                          <w:marBottom w:val="0"/>
                          <w:divBdr>
                            <w:top w:val="none" w:sz="0" w:space="0" w:color="auto"/>
                            <w:left w:val="none" w:sz="0" w:space="0" w:color="auto"/>
                            <w:bottom w:val="none" w:sz="0" w:space="0" w:color="auto"/>
                            <w:right w:val="none" w:sz="0" w:space="0" w:color="auto"/>
                          </w:divBdr>
                          <w:divsChild>
                            <w:div w:id="71461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74826">
          <w:marLeft w:val="0"/>
          <w:marRight w:val="0"/>
          <w:marTop w:val="0"/>
          <w:marBottom w:val="0"/>
          <w:divBdr>
            <w:top w:val="none" w:sz="0" w:space="0" w:color="auto"/>
            <w:left w:val="none" w:sz="0" w:space="0" w:color="auto"/>
            <w:bottom w:val="none" w:sz="0" w:space="0" w:color="auto"/>
            <w:right w:val="none" w:sz="0" w:space="0" w:color="auto"/>
          </w:divBdr>
          <w:divsChild>
            <w:div w:id="1391415020">
              <w:marLeft w:val="0"/>
              <w:marRight w:val="0"/>
              <w:marTop w:val="0"/>
              <w:marBottom w:val="0"/>
              <w:divBdr>
                <w:top w:val="none" w:sz="0" w:space="0" w:color="auto"/>
                <w:left w:val="none" w:sz="0" w:space="0" w:color="auto"/>
                <w:bottom w:val="none" w:sz="0" w:space="0" w:color="auto"/>
                <w:right w:val="none" w:sz="0" w:space="0" w:color="auto"/>
              </w:divBdr>
              <w:divsChild>
                <w:div w:id="1521626361">
                  <w:marLeft w:val="0"/>
                  <w:marRight w:val="0"/>
                  <w:marTop w:val="0"/>
                  <w:marBottom w:val="0"/>
                  <w:divBdr>
                    <w:top w:val="none" w:sz="0" w:space="0" w:color="auto"/>
                    <w:left w:val="none" w:sz="0" w:space="0" w:color="auto"/>
                    <w:bottom w:val="none" w:sz="0" w:space="0" w:color="auto"/>
                    <w:right w:val="none" w:sz="0" w:space="0" w:color="auto"/>
                  </w:divBdr>
                  <w:divsChild>
                    <w:div w:id="1700349859">
                      <w:marLeft w:val="-225"/>
                      <w:marRight w:val="-225"/>
                      <w:marTop w:val="0"/>
                      <w:marBottom w:val="0"/>
                      <w:divBdr>
                        <w:top w:val="none" w:sz="0" w:space="0" w:color="auto"/>
                        <w:left w:val="none" w:sz="0" w:space="0" w:color="auto"/>
                        <w:bottom w:val="none" w:sz="0" w:space="0" w:color="auto"/>
                        <w:right w:val="none" w:sz="0" w:space="0" w:color="auto"/>
                      </w:divBdr>
                      <w:divsChild>
                        <w:div w:id="1543980403">
                          <w:marLeft w:val="-225"/>
                          <w:marRight w:val="-225"/>
                          <w:marTop w:val="0"/>
                          <w:marBottom w:val="0"/>
                          <w:divBdr>
                            <w:top w:val="none" w:sz="0" w:space="0" w:color="auto"/>
                            <w:left w:val="none" w:sz="0" w:space="0" w:color="auto"/>
                            <w:bottom w:val="none" w:sz="0" w:space="0" w:color="auto"/>
                            <w:right w:val="none" w:sz="0" w:space="0" w:color="auto"/>
                          </w:divBdr>
                          <w:divsChild>
                            <w:div w:id="107493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714578">
      <w:bodyDiv w:val="1"/>
      <w:marLeft w:val="0"/>
      <w:marRight w:val="0"/>
      <w:marTop w:val="0"/>
      <w:marBottom w:val="0"/>
      <w:divBdr>
        <w:top w:val="none" w:sz="0" w:space="0" w:color="auto"/>
        <w:left w:val="none" w:sz="0" w:space="0" w:color="auto"/>
        <w:bottom w:val="none" w:sz="0" w:space="0" w:color="auto"/>
        <w:right w:val="none" w:sz="0" w:space="0" w:color="auto"/>
      </w:divBdr>
      <w:divsChild>
        <w:div w:id="738330689">
          <w:marLeft w:val="0"/>
          <w:marRight w:val="0"/>
          <w:marTop w:val="750"/>
          <w:marBottom w:val="1050"/>
          <w:divBdr>
            <w:top w:val="none" w:sz="0" w:space="0" w:color="auto"/>
            <w:left w:val="none" w:sz="0" w:space="0" w:color="auto"/>
            <w:bottom w:val="none" w:sz="0" w:space="0" w:color="auto"/>
            <w:right w:val="none" w:sz="0" w:space="0" w:color="auto"/>
          </w:divBdr>
        </w:div>
      </w:divsChild>
    </w:div>
    <w:div w:id="866411017">
      <w:bodyDiv w:val="1"/>
      <w:marLeft w:val="0"/>
      <w:marRight w:val="0"/>
      <w:marTop w:val="0"/>
      <w:marBottom w:val="0"/>
      <w:divBdr>
        <w:top w:val="none" w:sz="0" w:space="0" w:color="auto"/>
        <w:left w:val="none" w:sz="0" w:space="0" w:color="auto"/>
        <w:bottom w:val="none" w:sz="0" w:space="0" w:color="auto"/>
        <w:right w:val="none" w:sz="0" w:space="0" w:color="auto"/>
      </w:divBdr>
    </w:div>
    <w:div w:id="1084063266">
      <w:bodyDiv w:val="1"/>
      <w:marLeft w:val="0"/>
      <w:marRight w:val="0"/>
      <w:marTop w:val="0"/>
      <w:marBottom w:val="0"/>
      <w:divBdr>
        <w:top w:val="none" w:sz="0" w:space="0" w:color="auto"/>
        <w:left w:val="none" w:sz="0" w:space="0" w:color="auto"/>
        <w:bottom w:val="none" w:sz="0" w:space="0" w:color="auto"/>
        <w:right w:val="none" w:sz="0" w:space="0" w:color="auto"/>
      </w:divBdr>
      <w:divsChild>
        <w:div w:id="137962801">
          <w:marLeft w:val="0"/>
          <w:marRight w:val="0"/>
          <w:marTop w:val="0"/>
          <w:marBottom w:val="0"/>
          <w:divBdr>
            <w:top w:val="none" w:sz="0" w:space="0" w:color="auto"/>
            <w:left w:val="none" w:sz="0" w:space="0" w:color="auto"/>
            <w:bottom w:val="none" w:sz="0" w:space="0" w:color="auto"/>
            <w:right w:val="none" w:sz="0" w:space="0" w:color="auto"/>
          </w:divBdr>
        </w:div>
      </w:divsChild>
    </w:div>
    <w:div w:id="159070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Redirection('LE0000013389_Vigente.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1210</Words>
  <Characters>6657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7852</CharactersWithSpaces>
  <SharedDoc>false</SharedDoc>
  <HLinks>
    <vt:vector size="6" baseType="variant">
      <vt:variant>
        <vt:i4>3539016</vt:i4>
      </vt:variant>
      <vt:variant>
        <vt:i4>0</vt:i4>
      </vt:variant>
      <vt:variant>
        <vt:i4>0</vt:i4>
      </vt:variant>
      <vt:variant>
        <vt:i4>5</vt:i4>
      </vt:variant>
      <vt:variant>
        <vt:lpwstr>javascript:Redirection('LE0000013389_Vigente.HTML</vt:lpwstr>
      </vt:variant>
      <vt:variant>
        <vt:lpwstr>I1680')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samp9</dc:creator>
  <cp:keywords/>
  <dc:description/>
  <cp:lastModifiedBy>NATALIA FUERTES MARCOS</cp:lastModifiedBy>
  <cp:revision>2</cp:revision>
  <dcterms:created xsi:type="dcterms:W3CDTF">2023-01-27T10:14:00Z</dcterms:created>
  <dcterms:modified xsi:type="dcterms:W3CDTF">2023-01-27T10:14:00Z</dcterms:modified>
</cp:coreProperties>
</file>